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迎宾南停车场2台电梯维保及年检服务采购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（珠海正方慧通科技有限公司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7</w:t>
      </w:r>
      <w:bookmarkStart w:id="95" w:name="_GoBack"/>
      <w:bookmarkEnd w:id="95"/>
      <w:r>
        <w:rPr>
          <w:rFonts w:hint="eastAsia" w:cs="Times New Roman"/>
          <w:b/>
          <w:bCs/>
          <w:color w:val="auto"/>
          <w:sz w:val="32"/>
          <w:szCs w:val="32"/>
          <w:u w:val="thick"/>
          <w:lang w:val="en-US" w:eastAsia="zh-CN"/>
        </w:rPr>
        <w:t xml:space="preserve">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珠海正方慧通科技有限公司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为落实特种设备安全管理要求，保障迎宾南停车场电梯安全稳定运行，现采购电梯维保及年检服务。</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壹万零肆佰肆拾元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10440.00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壹万零肆佰肆拾元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10440.00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迎宾南停车场2台电梯维保及年检服务采购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1.投标人必须是在中华人民共和国境内依法注册、具备独立民事责任承担能力的法人或其他组织，持有合法有效营业执照；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2.自公告发布之日起近3年具备2个或以上电梯维保项目业绩；</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3.供应商未被列入“信用中国”网站(www.creditchina.gov.cn)“记录失信被执行人或重大税收违法失信主体”记录名单；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6.本项目不接受联合体投标。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10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迎宾南停车场2台电梯维保及年检服务采购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珠海正方慧通科技有限公司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15547"/>
      <w:bookmarkStart w:id="3" w:name="_Toc9199"/>
      <w:bookmarkStart w:id="4" w:name="_Toc27664"/>
      <w:r>
        <w:rPr>
          <w:rFonts w:hint="eastAsia" w:ascii="宋体" w:hAnsi="宋体" w:eastAsia="宋体"/>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rPr>
      </w:pPr>
      <w:bookmarkStart w:id="7" w:name="_Toc15317"/>
      <w:bookmarkStart w:id="8" w:name="_Toc202251075"/>
      <w:bookmarkStart w:id="9" w:name="_Toc276645579"/>
      <w:bookmarkStart w:id="10" w:name="_Toc503427710"/>
      <w:bookmarkStart w:id="11" w:name="_Toc17685"/>
      <w:bookmarkStart w:id="12" w:name="_Toc202816996"/>
      <w:bookmarkStart w:id="13" w:name="_Toc202252034"/>
      <w:bookmarkStart w:id="14" w:name="_Toc202251700"/>
      <w:bookmarkStart w:id="15" w:name="_Toc202254105"/>
      <w:bookmarkStart w:id="16" w:name="_Toc259090982"/>
      <w:bookmarkStart w:id="17" w:name="_Toc202819878"/>
      <w:bookmarkStart w:id="18" w:name="_Toc16107"/>
      <w:bookmarkStart w:id="19" w:name="_Toc202820351"/>
      <w:bookmarkStart w:id="20" w:name="_Toc698"/>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32660"/>
      <w:bookmarkStart w:id="22" w:name="_Toc20366"/>
      <w:bookmarkStart w:id="23" w:name="_Toc24181"/>
      <w:bookmarkStart w:id="24" w:name="_Toc276645580"/>
      <w:bookmarkStart w:id="25" w:name="_Toc503427711"/>
      <w:bookmarkStart w:id="26" w:name="_Toc13089"/>
      <w:bookmarkStart w:id="27" w:name="_Toc259090983"/>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珠海正方慧通科技有限公司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迎宾南停车场2台电梯维保及年检服务采购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19817"/>
      <w:bookmarkStart w:id="30" w:name="_Toc17080"/>
      <w:bookmarkStart w:id="31" w:name="_Toc503427713"/>
      <w:bookmarkStart w:id="32" w:name="_Toc19171"/>
      <w:bookmarkStart w:id="33" w:name="_Toc528"/>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珠海正方慧通科技有限公司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迎宾南停车场2台电梯维保及年检服务采购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footerReference r:id="rId5" w:type="first"/>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26971"/>
      <w:bookmarkStart w:id="36" w:name="_Toc24356"/>
      <w:bookmarkStart w:id="37" w:name="_Toc15464"/>
      <w:bookmarkStart w:id="38" w:name="_Toc31877"/>
      <w:bookmarkStart w:id="39" w:name="_Toc14285"/>
      <w:bookmarkStart w:id="40" w:name="_Toc13922"/>
      <w:bookmarkStart w:id="41" w:name="_Toc5048"/>
      <w:bookmarkStart w:id="42" w:name="_Toc19969"/>
      <w:bookmarkStart w:id="43" w:name="_Toc19796"/>
      <w:bookmarkStart w:id="44" w:name="_Toc9476"/>
      <w:bookmarkStart w:id="45" w:name="_Toc10585"/>
      <w:bookmarkStart w:id="46" w:name="_Toc32141"/>
      <w:bookmarkStart w:id="47" w:name="_Toc31767"/>
      <w:bookmarkStart w:id="48" w:name="_Toc6220"/>
      <w:bookmarkStart w:id="49" w:name="_Toc24969"/>
      <w:bookmarkStart w:id="50" w:name="_Toc10559"/>
      <w:bookmarkStart w:id="51" w:name="_Toc32498"/>
      <w:bookmarkStart w:id="52" w:name="_Toc27468"/>
      <w:bookmarkStart w:id="53" w:name="_Toc4726"/>
      <w:bookmarkStart w:id="54" w:name="_Toc276645583"/>
      <w:bookmarkStart w:id="55" w:name="_Toc6275"/>
      <w:bookmarkStart w:id="56" w:name="_Toc264628882"/>
      <w:bookmarkStart w:id="57" w:name="_Toc4427"/>
      <w:bookmarkStart w:id="58" w:name="_Toc503427714"/>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1911"/>
      <w:r>
        <w:rPr>
          <w:rFonts w:hint="eastAsia" w:ascii="宋体" w:hAnsi="宋体" w:eastAsia="宋体"/>
          <w:sz w:val="28"/>
          <w:lang w:val="en-US" w:eastAsia="zh-CN"/>
        </w:rPr>
        <w:t>1.3.</w:t>
      </w:r>
      <w:bookmarkEnd w:id="59"/>
      <w:r>
        <w:rPr>
          <w:rFonts w:hint="eastAsia" w:ascii="宋体" w:hAnsi="宋体"/>
          <w:sz w:val="28"/>
          <w:lang w:val="en-US" w:eastAsia="zh-CN"/>
        </w:rPr>
        <w:t>2</w:t>
      </w:r>
      <w:r>
        <w:rPr>
          <w:rFonts w:hint="eastAsia" w:ascii="宋体" w:hAnsi="宋体" w:eastAsia="宋体"/>
          <w:sz w:val="28"/>
          <w:lang w:val="en-US" w:eastAsia="zh-CN"/>
        </w:rPr>
        <w:t>相关业绩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8"/>
          <w:sz w:val="24"/>
          <w:szCs w:val="24"/>
          <w:lang w:val="en-US" w:eastAsia="zh-CN" w:bidi="ar-SA"/>
        </w:rPr>
      </w:pPr>
      <w:r>
        <w:rPr>
          <w:rFonts w:hint="eastAsia" w:ascii="宋体" w:hAnsi="宋体" w:eastAsia="宋体" w:cs="宋体"/>
          <w:kern w:val="28"/>
          <w:sz w:val="24"/>
          <w:szCs w:val="24"/>
          <w:lang w:val="en-US" w:eastAsia="zh-CN" w:bidi="ar-SA"/>
        </w:rPr>
        <w:t>投标供应商提供合同或采购订单</w:t>
      </w:r>
      <w:r>
        <w:rPr>
          <w:rFonts w:hint="eastAsia" w:ascii="宋体" w:hAnsi="宋体" w:cs="宋体"/>
          <w:kern w:val="28"/>
          <w:sz w:val="24"/>
          <w:szCs w:val="24"/>
          <w:lang w:val="en-US" w:eastAsia="zh-CN" w:bidi="ar-SA"/>
        </w:rPr>
        <w:t>截图</w:t>
      </w:r>
      <w:r>
        <w:rPr>
          <w:rFonts w:hint="eastAsia" w:ascii="宋体" w:hAnsi="宋体" w:eastAsia="宋体" w:cs="宋体"/>
          <w:kern w:val="28"/>
          <w:sz w:val="24"/>
          <w:szCs w:val="24"/>
          <w:lang w:val="en-US" w:eastAsia="zh-CN" w:bidi="ar-SA"/>
        </w:rPr>
        <w:t>，要求有采购方</w:t>
      </w:r>
      <w:r>
        <w:rPr>
          <w:rFonts w:hint="eastAsia" w:ascii="宋体" w:hAnsi="宋体" w:cs="宋体"/>
          <w:kern w:val="28"/>
          <w:sz w:val="24"/>
          <w:szCs w:val="24"/>
          <w:lang w:val="en-US" w:eastAsia="zh-CN" w:bidi="ar-SA"/>
        </w:rPr>
        <w:t>及供货方</w:t>
      </w:r>
      <w:r>
        <w:rPr>
          <w:rFonts w:hint="eastAsia" w:ascii="宋体" w:hAnsi="宋体" w:eastAsia="宋体" w:cs="宋体"/>
          <w:kern w:val="28"/>
          <w:sz w:val="24"/>
          <w:szCs w:val="24"/>
          <w:lang w:val="en-US" w:eastAsia="zh-CN" w:bidi="ar-SA"/>
        </w:rPr>
        <w:t>名称</w:t>
      </w:r>
      <w:r>
        <w:rPr>
          <w:rFonts w:hint="eastAsia" w:ascii="宋体" w:hAnsi="宋体" w:cs="宋体"/>
          <w:kern w:val="28"/>
          <w:sz w:val="24"/>
          <w:szCs w:val="24"/>
          <w:lang w:val="en-US" w:eastAsia="zh-CN" w:bidi="ar-SA"/>
        </w:rPr>
        <w:t>并在复印件</w:t>
      </w:r>
      <w:r>
        <w:rPr>
          <w:rFonts w:hint="eastAsia" w:asciiTheme="minorEastAsia" w:hAnsiTheme="minorEastAsia" w:cstheme="minorEastAsia"/>
          <w:sz w:val="24"/>
          <w:szCs w:val="24"/>
          <w:lang w:val="en-US" w:eastAsia="zh-CN"/>
        </w:rPr>
        <w:t>加盖公章</w:t>
      </w:r>
      <w:r>
        <w:rPr>
          <w:rFonts w:hint="eastAsia" w:ascii="宋体" w:hAnsi="宋体" w:cs="宋体"/>
          <w:kern w:val="28"/>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sz w:val="24"/>
          <w:szCs w:val="24"/>
          <w:lang w:val="en-US" w:eastAsia="zh-CN"/>
        </w:rPr>
      </w:pPr>
      <w:bookmarkStart w:id="60" w:name="_Toc20437"/>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571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10"/>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11"/>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2"/>
                    <a:stretch>
                      <a:fillRect/>
                    </a:stretch>
                  </pic:blipFill>
                  <pic:spPr>
                    <a:xfrm>
                      <a:off x="0" y="0"/>
                      <a:ext cx="5270500" cy="7850505"/>
                    </a:xfrm>
                    <a:prstGeom prst="rect">
                      <a:avLst/>
                    </a:prstGeom>
                    <a:noFill/>
                    <a:ln>
                      <a:noFill/>
                    </a:ln>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b/>
          <w:sz w:val="24"/>
          <w:szCs w:val="24"/>
          <w:lang w:val="en-US" w:eastAsia="zh-CN"/>
        </w:rPr>
      </w:pPr>
      <w:r>
        <w:rPr>
          <w:rFonts w:hint="eastAsia"/>
          <w:b/>
          <w:sz w:val="24"/>
          <w:szCs w:val="24"/>
          <w:lang w:val="en-US" w:eastAsia="zh-CN"/>
        </w:rPr>
        <w:t>付款银行流水示例：</w:t>
      </w:r>
    </w:p>
    <w:p>
      <w:pPr>
        <w:numPr>
          <w:ilvl w:val="0"/>
          <w:numId w:val="0"/>
        </w:numPr>
        <w:rPr>
          <w:rFonts w:hint="default" w:ascii="宋体" w:hAnsi="宋体" w:eastAsia="宋体" w:cs="宋体"/>
          <w:bCs/>
          <w:sz w:val="28"/>
          <w:szCs w:val="28"/>
          <w:lang w:val="en-US" w:eastAsia="zh-CN"/>
        </w:rPr>
      </w:pPr>
      <w:r>
        <w:drawing>
          <wp:inline distT="0" distB="0" distL="114300" distR="114300">
            <wp:extent cx="5268595" cy="6563995"/>
            <wp:effectExtent l="0" t="0" r="8255"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3"/>
                    <a:stretch>
                      <a:fillRect/>
                    </a:stretch>
                  </pic:blipFill>
                  <pic:spPr>
                    <a:xfrm>
                      <a:off x="0" y="0"/>
                      <a:ext cx="5268595" cy="6563995"/>
                    </a:xfrm>
                    <a:prstGeom prst="rect">
                      <a:avLst/>
                    </a:prstGeom>
                    <a:noFill/>
                    <a:ln>
                      <a:noFill/>
                    </a:ln>
                  </pic:spPr>
                </pic:pic>
              </a:graphicData>
            </a:graphic>
          </wp:inline>
        </w:drawing>
      </w:r>
    </w:p>
    <w:p>
      <w:pPr>
        <w:pStyle w:val="5"/>
        <w:spacing w:before="100" w:after="100" w:line="360" w:lineRule="auto"/>
      </w:pPr>
    </w:p>
    <w:p/>
    <w:p>
      <w:pPr>
        <w:pStyle w:val="2"/>
      </w:pPr>
    </w:p>
    <w:p/>
    <w:p>
      <w:pPr>
        <w:pStyle w:val="2"/>
      </w:pPr>
    </w:p>
    <w:p/>
    <w:p>
      <w:pPr>
        <w:pStyle w:val="5"/>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60"/>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珠海正方慧通科技有限公司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6" w:type="default"/>
          <w:pgSz w:w="11906" w:h="16838"/>
          <w:pgMar w:top="1304" w:right="1531" w:bottom="1247" w:left="1531" w:header="851" w:footer="992" w:gutter="0"/>
          <w:pgNumType w:fmt="decimal"/>
          <w:cols w:space="425" w:num="1"/>
          <w:docGrid w:type="lines" w:linePitch="312" w:charSpace="0"/>
        </w:sectPr>
      </w:pPr>
      <w:bookmarkStart w:id="61" w:name="_Toc12992"/>
      <w:bookmarkStart w:id="62" w:name="_Toc24253"/>
      <w:bookmarkStart w:id="63" w:name="_Toc276645592"/>
      <w:bookmarkStart w:id="64" w:name="_Toc503427721"/>
      <w:bookmarkStart w:id="65" w:name="_Toc3330"/>
      <w:bookmarkStart w:id="66" w:name="_Toc29543"/>
      <w:bookmarkStart w:id="67" w:name="_Toc202251078"/>
      <w:bookmarkStart w:id="68" w:name="_Toc202817000"/>
      <w:bookmarkStart w:id="69" w:name="_Toc202251703"/>
      <w:bookmarkStart w:id="70" w:name="_Toc21572"/>
      <w:bookmarkStart w:id="71" w:name="_Toc259090996"/>
      <w:bookmarkStart w:id="72" w:name="_Toc202819882"/>
      <w:bookmarkStart w:id="73" w:name="_Toc202820355"/>
      <w:bookmarkStart w:id="74" w:name="_Toc202252037"/>
      <w:bookmarkStart w:id="75" w:name="_Toc202254108"/>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6" w:name="_Toc5662"/>
      <w:bookmarkStart w:id="77" w:name="_Toc10726"/>
      <w:bookmarkStart w:id="78" w:name="_Toc7304"/>
      <w:bookmarkStart w:id="79" w:name="_Toc500"/>
      <w:bookmarkStart w:id="80" w:name="_Toc6669"/>
      <w:bookmarkStart w:id="81" w:name="_Toc2576"/>
      <w:bookmarkStart w:id="82" w:name="_Toc9094"/>
      <w:bookmarkStart w:id="83" w:name="_Toc22499"/>
      <w:bookmarkStart w:id="84" w:name="_Toc5278"/>
      <w:bookmarkStart w:id="85" w:name="_Toc30192"/>
      <w:bookmarkStart w:id="86" w:name="_Toc32145"/>
      <w:bookmarkStart w:id="87" w:name="_Toc29470"/>
      <w:bookmarkStart w:id="88" w:name="_Toc24446"/>
      <w:bookmarkStart w:id="89" w:name="_Toc16860"/>
      <w:bookmarkStart w:id="90" w:name="_Toc113"/>
      <w:bookmarkStart w:id="91" w:name="_Toc3193"/>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6"/>
      <w:bookmarkEnd w:id="77"/>
      <w:bookmarkEnd w:id="78"/>
      <w:bookmarkStart w:id="92" w:name="_Toc29247"/>
      <w:bookmarkStart w:id="93" w:name="_Toc17294"/>
      <w:bookmarkStart w:id="94" w:name="_Toc28886"/>
      <w:r>
        <w:rPr>
          <w:rFonts w:hint="eastAsia" w:ascii="宋体" w:hAnsi="宋体"/>
          <w:sz w:val="28"/>
          <w:lang w:val="en-US" w:eastAsia="zh-CN"/>
        </w:rPr>
        <w:t>1</w:t>
      </w:r>
      <w:r>
        <w:rPr>
          <w:rFonts w:hint="eastAsia" w:ascii="宋体" w:hAnsi="宋体" w:eastAsia="宋体"/>
          <w:sz w:val="28"/>
          <w:lang w:val="en-US" w:eastAsia="zh-CN"/>
        </w:rPr>
        <w:t>信用信息</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4"/>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pgNumType w:fmt="decimal"/>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珠海正方慧通科技有限公司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迎宾南停车场2台电梯维保及年检服务采购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珠海正方慧通科技有限公司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迎宾南停车场2台电梯维保及年检服务采购</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r>
        <w:rPr>
          <w:rFonts w:hint="default" w:ascii="Times New Roman" w:hAnsi="Times New Roman" w:eastAsia="宋体" w:cs="Times New Roman"/>
          <w:color w:val="auto"/>
          <w:sz w:val="28"/>
          <w:szCs w:val="28"/>
          <w:u w:val="single"/>
        </w:rPr>
        <w:t xml:space="preserve"> </w:t>
      </w:r>
      <w:r>
        <w:rPr>
          <w:rFonts w:hint="eastAsia" w:cs="Times New Roman"/>
          <w:color w:val="auto"/>
          <w:sz w:val="28"/>
          <w:szCs w:val="28"/>
          <w:u w:val="single"/>
          <w:lang w:val="en-US" w:eastAsia="zh-CN"/>
        </w:rPr>
        <w:t xml:space="preserve">      </w:t>
      </w:r>
      <w:r>
        <w:rPr>
          <w:rFonts w:hint="default" w:ascii="Times New Roman" w:hAnsi="Times New Roman" w:eastAsia="宋体" w:cs="Times New Roman"/>
          <w:color w:val="auto"/>
          <w:sz w:val="28"/>
          <w:szCs w:val="28"/>
          <w:u w:val="single"/>
        </w:rPr>
        <w:t xml:space="preserve"> </w:t>
      </w:r>
      <w:r>
        <w:rPr>
          <w:rFonts w:hint="default" w:ascii="Times New Roman" w:hAnsi="Times New Roman" w:eastAsia="宋体" w:cs="Times New Roman"/>
          <w:color w:val="auto"/>
          <w:sz w:val="28"/>
          <w:szCs w:val="28"/>
        </w:rPr>
        <w:t xml:space="preserve">元 （¥ </w:t>
      </w:r>
      <w:r>
        <w:rPr>
          <w:rFonts w:hint="default" w:ascii="Times New Roman" w:hAnsi="Times New Roman" w:eastAsia="宋体" w:cs="Times New Roman"/>
          <w:color w:val="auto"/>
          <w:sz w:val="28"/>
          <w:szCs w:val="28"/>
          <w:u w:val="single"/>
        </w:rPr>
        <w:t xml:space="preserve">      </w:t>
      </w:r>
      <w:r>
        <w:rPr>
          <w:rFonts w:hint="default" w:ascii="Times New Roman" w:hAnsi="Times New Roman" w:eastAsia="宋体" w:cs="Times New Roman"/>
          <w:color w:val="auto"/>
          <w:sz w:val="28"/>
          <w:szCs w:val="28"/>
        </w:rPr>
        <w:t>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迎宾南停车场2台电梯维保及年检服务采购</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34"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服务</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sz w:val="22"/>
                <w:szCs w:val="22"/>
                <w:u w:val="none"/>
                <w:lang w:val="en-US" w:eastAsia="zh-CN"/>
              </w:rPr>
              <w:t>电梯维，含电梯保险，详见任务书</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24</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据实结算，2台12个月，半包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34"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sz w:val="22"/>
                <w:szCs w:val="22"/>
                <w:u w:val="none"/>
                <w:lang w:val="en-US" w:eastAsia="zh-CN"/>
              </w:rPr>
              <w:t>服务</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电梯年检，详见任务书</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sz w:val="22"/>
                <w:szCs w:val="22"/>
                <w:u w:val="none"/>
                <w:lang w:val="en-US" w:eastAsia="zh-CN"/>
              </w:rPr>
              <w:t>据实结算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保险费</w:t>
            </w:r>
            <w:r>
              <w:rPr>
                <w:rFonts w:hint="eastAsia" w:ascii="宋体" w:hAnsi="宋体" w:eastAsia="宋体" w:cs="宋体"/>
                <w:color w:val="auto"/>
                <w:sz w:val="22"/>
                <w:szCs w:val="22"/>
              </w:rPr>
              <w:t>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 xml:space="preserve">4.联系人：姜工 13823022202 </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宋体" w:hAnsi="宋体"/>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5"/>
        <w:spacing w:before="100" w:after="100" w:line="360" w:lineRule="auto"/>
        <w:rPr>
          <w:rFonts w:hint="eastAsia" w:ascii="宋体" w:hAnsi="宋体" w:eastAsia="宋体"/>
          <w:sz w:val="28"/>
          <w:lang w:val="en-US" w:eastAsia="zh-CN"/>
        </w:rPr>
      </w:pPr>
    </w:p>
    <w:p>
      <w:pPr>
        <w:rPr>
          <w:rFonts w:hint="eastAsia" w:ascii="宋体" w:hAnsi="宋体" w:eastAsia="宋体"/>
          <w:sz w:val="28"/>
          <w:lang w:val="en-US" w:eastAsia="zh-CN"/>
        </w:rPr>
      </w:pPr>
    </w:p>
    <w:p>
      <w:pPr>
        <w:pStyle w:val="2"/>
        <w:rPr>
          <w:rFonts w:hint="eastAsia"/>
          <w:lang w:val="en-US" w:eastAsia="zh-CN"/>
        </w:rPr>
      </w:pPr>
    </w:p>
    <w:p>
      <w:pPr>
        <w:pStyle w:val="5"/>
        <w:spacing w:before="100" w:after="100" w:line="360" w:lineRule="auto"/>
        <w:rPr>
          <w:rFonts w:hint="eastAsia" w:ascii="宋体" w:hAnsi="宋体" w:eastAsia="宋体"/>
          <w:sz w:val="28"/>
          <w:lang w:val="en-US" w:eastAsia="zh-CN"/>
        </w:rPr>
        <w:sectPr>
          <w:pgSz w:w="11906" w:h="16839"/>
          <w:pgMar w:top="1431" w:right="1785" w:bottom="0" w:left="1785" w:header="0" w:footer="0" w:gutter="0"/>
          <w:pgNumType w:fmt="decimal"/>
          <w:cols w:space="720" w:num="1"/>
        </w:sectPr>
      </w:pPr>
    </w:p>
    <w:p>
      <w:pPr>
        <w:pStyle w:val="5"/>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附件1：任务书</w:t>
      </w: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snapToGrid w:val="0"/>
          <w:color w:val="auto"/>
          <w:kern w:val="0"/>
          <w:sz w:val="40"/>
          <w:szCs w:val="40"/>
          <w:lang w:eastAsia="en-US"/>
        </w:rPr>
      </w:pPr>
      <w:r>
        <w:rPr>
          <w:rFonts w:hint="eastAsia" w:ascii="仿宋" w:hAnsi="仿宋" w:eastAsia="仿宋" w:cs="仿宋"/>
          <w:snapToGrid w:val="0"/>
          <w:color w:val="auto"/>
          <w:kern w:val="0"/>
          <w:sz w:val="40"/>
          <w:szCs w:val="40"/>
          <w:lang w:val="en-US" w:eastAsia="zh-CN"/>
        </w:rPr>
        <w:t>迎宾南停车场</w:t>
      </w: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snapToGrid w:val="0"/>
          <w:color w:val="auto"/>
          <w:kern w:val="0"/>
          <w:sz w:val="40"/>
          <w:szCs w:val="40"/>
          <w:lang w:eastAsia="en-US"/>
        </w:rPr>
      </w:pP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snapToGrid w:val="0"/>
          <w:color w:val="auto"/>
          <w:kern w:val="0"/>
          <w:sz w:val="40"/>
          <w:szCs w:val="40"/>
          <w:lang w:eastAsia="en-US"/>
        </w:rPr>
      </w:pPr>
      <w:r>
        <w:rPr>
          <w:rFonts w:hint="eastAsia" w:ascii="仿宋" w:hAnsi="仿宋" w:eastAsia="仿宋" w:cs="仿宋"/>
          <w:snapToGrid w:val="0"/>
          <w:color w:val="auto"/>
          <w:kern w:val="0"/>
          <w:sz w:val="40"/>
          <w:szCs w:val="40"/>
          <w:lang w:val="en-US" w:eastAsia="zh-CN"/>
        </w:rPr>
        <w:t>电梯维保</w:t>
      </w:r>
      <w:r>
        <w:rPr>
          <w:rFonts w:hint="eastAsia" w:ascii="仿宋" w:hAnsi="仿宋" w:eastAsia="仿宋" w:cs="仿宋"/>
          <w:snapToGrid w:val="0"/>
          <w:color w:val="auto"/>
          <w:kern w:val="0"/>
          <w:sz w:val="40"/>
          <w:szCs w:val="40"/>
          <w:lang w:eastAsia="en-US"/>
        </w:rPr>
        <w:t>服务任务书</w:t>
      </w: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snapToGrid w:val="0"/>
          <w:color w:val="auto"/>
          <w:kern w:val="0"/>
          <w:sz w:val="22"/>
          <w:szCs w:val="22"/>
          <w:lang w:eastAsia="en-US"/>
        </w:rPr>
      </w:pPr>
      <w:r>
        <w:rPr>
          <w:rFonts w:hint="eastAsia" w:ascii="仿宋" w:hAnsi="仿宋" w:eastAsia="仿宋" w:cs="仿宋"/>
          <w:snapToGrid w:val="0"/>
          <w:color w:val="auto"/>
          <w:kern w:val="0"/>
          <w:sz w:val="22"/>
          <w:szCs w:val="22"/>
          <w:lang w:eastAsia="en-US"/>
        </w:rPr>
        <w:drawing>
          <wp:inline distT="0" distB="0" distL="0" distR="0">
            <wp:extent cx="1986915" cy="2015490"/>
            <wp:effectExtent l="0" t="0" r="13335" b="3810"/>
            <wp:docPr id="5" name="IM 2"/>
            <wp:cNvGraphicFramePr/>
            <a:graphic xmlns:a="http://schemas.openxmlformats.org/drawingml/2006/main">
              <a:graphicData uri="http://schemas.openxmlformats.org/drawingml/2006/picture">
                <pic:pic xmlns:pic="http://schemas.openxmlformats.org/drawingml/2006/picture">
                  <pic:nvPicPr>
                    <pic:cNvPr id="5" name="IM 2"/>
                    <pic:cNvPicPr/>
                  </pic:nvPicPr>
                  <pic:blipFill>
                    <a:blip r:embed="rId15"/>
                    <a:stretch>
                      <a:fillRect/>
                    </a:stretch>
                  </pic:blipFill>
                  <pic:spPr>
                    <a:xfrm>
                      <a:off x="0" y="0"/>
                      <a:ext cx="1986915" cy="2015490"/>
                    </a:xfrm>
                    <a:prstGeom prst="rect">
                      <a:avLst/>
                    </a:prstGeom>
                  </pic:spPr>
                </pic:pic>
              </a:graphicData>
            </a:graphic>
          </wp:inline>
        </w:drawing>
      </w: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kinsoku w:val="0"/>
        <w:autoSpaceDE w:val="0"/>
        <w:autoSpaceDN w:val="0"/>
        <w:adjustRightInd w:val="0"/>
        <w:snapToGrid w:val="0"/>
        <w:spacing w:line="240" w:lineRule="auto"/>
        <w:ind w:firstLine="0" w:firstLineChars="0"/>
        <w:jc w:val="left"/>
        <w:textAlignment w:val="baseline"/>
        <w:rPr>
          <w:rFonts w:hint="eastAsia" w:ascii="仿宋" w:hAnsi="仿宋" w:eastAsia="仿宋" w:cs="仿宋"/>
          <w:b/>
          <w:bCs/>
          <w:snapToGrid w:val="0"/>
          <w:color w:val="000000"/>
          <w:kern w:val="0"/>
          <w:sz w:val="36"/>
          <w:szCs w:val="36"/>
          <w:lang w:val="en-US" w:eastAsia="zh-CN" w:bidi="ar-SA"/>
        </w:rPr>
      </w:pPr>
      <w:r>
        <w:rPr>
          <w:rFonts w:hint="eastAsia" w:ascii="仿宋" w:hAnsi="仿宋" w:eastAsia="仿宋" w:cs="仿宋"/>
          <w:b/>
          <w:bCs/>
          <w:snapToGrid w:val="0"/>
          <w:color w:val="000000"/>
          <w:kern w:val="0"/>
          <w:sz w:val="36"/>
          <w:szCs w:val="36"/>
          <w:lang w:val="en-US" w:eastAsia="zh-CN" w:bidi="ar-SA"/>
        </w:rPr>
        <w:t>编      制：</w:t>
      </w:r>
    </w:p>
    <w:p>
      <w:pPr>
        <w:kinsoku w:val="0"/>
        <w:autoSpaceDE w:val="0"/>
        <w:autoSpaceDN w:val="0"/>
        <w:adjustRightInd w:val="0"/>
        <w:snapToGrid w:val="0"/>
        <w:spacing w:line="240" w:lineRule="auto"/>
        <w:ind w:left="0" w:leftChars="0" w:firstLine="0" w:firstLineChars="0"/>
        <w:jc w:val="left"/>
        <w:textAlignment w:val="baseline"/>
        <w:rPr>
          <w:rFonts w:hint="eastAsia" w:ascii="仿宋" w:hAnsi="仿宋" w:eastAsia="仿宋" w:cs="仿宋"/>
          <w:b/>
          <w:bCs/>
          <w:snapToGrid w:val="0"/>
          <w:color w:val="000000"/>
          <w:kern w:val="0"/>
          <w:sz w:val="36"/>
          <w:szCs w:val="36"/>
          <w:lang w:val="en-US" w:eastAsia="zh-CN" w:bidi="ar-SA"/>
        </w:rPr>
      </w:pPr>
    </w:p>
    <w:p>
      <w:pPr>
        <w:kinsoku w:val="0"/>
        <w:autoSpaceDE w:val="0"/>
        <w:autoSpaceDN w:val="0"/>
        <w:adjustRightInd w:val="0"/>
        <w:snapToGrid w:val="0"/>
        <w:spacing w:line="240" w:lineRule="auto"/>
        <w:ind w:firstLine="0" w:firstLineChars="0"/>
        <w:jc w:val="left"/>
        <w:textAlignment w:val="baseline"/>
        <w:rPr>
          <w:rFonts w:hint="eastAsia" w:ascii="仿宋" w:hAnsi="仿宋" w:eastAsia="仿宋" w:cs="仿宋"/>
          <w:b/>
          <w:bCs/>
          <w:snapToGrid w:val="0"/>
          <w:color w:val="000000"/>
          <w:kern w:val="0"/>
          <w:sz w:val="36"/>
          <w:szCs w:val="36"/>
          <w:lang w:val="en-US" w:eastAsia="zh-CN" w:bidi="ar-SA"/>
        </w:rPr>
      </w:pPr>
      <w:r>
        <w:rPr>
          <w:rFonts w:hint="eastAsia" w:ascii="仿宋" w:hAnsi="仿宋" w:eastAsia="仿宋" w:cs="仿宋"/>
          <w:b/>
          <w:bCs/>
          <w:snapToGrid w:val="0"/>
          <w:color w:val="000000"/>
          <w:kern w:val="0"/>
          <w:sz w:val="36"/>
          <w:szCs w:val="36"/>
          <w:lang w:val="en-US" w:eastAsia="zh-CN" w:bidi="ar-SA"/>
        </w:rPr>
        <w:t>审      核：</w:t>
      </w:r>
    </w:p>
    <w:p>
      <w:pPr>
        <w:kinsoku w:val="0"/>
        <w:autoSpaceDE w:val="0"/>
        <w:autoSpaceDN w:val="0"/>
        <w:adjustRightInd w:val="0"/>
        <w:snapToGrid w:val="0"/>
        <w:spacing w:line="240" w:lineRule="auto"/>
        <w:ind w:firstLine="361" w:firstLineChars="100"/>
        <w:jc w:val="left"/>
        <w:textAlignment w:val="baseline"/>
        <w:rPr>
          <w:rFonts w:hint="eastAsia" w:ascii="仿宋" w:hAnsi="仿宋" w:eastAsia="仿宋" w:cs="仿宋"/>
          <w:b/>
          <w:bCs/>
          <w:snapToGrid w:val="0"/>
          <w:color w:val="000000"/>
          <w:kern w:val="0"/>
          <w:sz w:val="36"/>
          <w:szCs w:val="36"/>
          <w:lang w:val="en-US" w:eastAsia="zh-CN" w:bidi="ar-SA"/>
        </w:rPr>
      </w:pPr>
    </w:p>
    <w:p>
      <w:pPr>
        <w:kinsoku w:val="0"/>
        <w:autoSpaceDE w:val="0"/>
        <w:autoSpaceDN w:val="0"/>
        <w:adjustRightInd w:val="0"/>
        <w:snapToGrid w:val="0"/>
        <w:spacing w:line="240" w:lineRule="auto"/>
        <w:ind w:firstLine="0" w:firstLineChars="0"/>
        <w:jc w:val="left"/>
        <w:textAlignment w:val="baseline"/>
        <w:rPr>
          <w:rFonts w:hint="eastAsia" w:ascii="仿宋" w:hAnsi="仿宋" w:eastAsia="仿宋" w:cs="仿宋"/>
          <w:b/>
          <w:bCs/>
          <w:snapToGrid w:val="0"/>
          <w:color w:val="000000"/>
          <w:kern w:val="0"/>
          <w:sz w:val="36"/>
          <w:szCs w:val="36"/>
          <w:lang w:val="en-US" w:eastAsia="zh-CN" w:bidi="ar-SA"/>
        </w:rPr>
      </w:pPr>
      <w:r>
        <w:rPr>
          <w:rFonts w:hint="eastAsia" w:ascii="仿宋" w:hAnsi="仿宋" w:eastAsia="仿宋" w:cs="仿宋"/>
          <w:b/>
          <w:bCs/>
          <w:snapToGrid w:val="0"/>
          <w:color w:val="000000"/>
          <w:kern w:val="0"/>
          <w:sz w:val="36"/>
          <w:szCs w:val="36"/>
          <w:lang w:val="en-US" w:eastAsia="zh-CN" w:bidi="ar-SA"/>
        </w:rPr>
        <w:t>批      准：</w:t>
      </w: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left"/>
        <w:textAlignment w:val="baseline"/>
        <w:rPr>
          <w:rFonts w:hint="eastAsia" w:ascii="仿宋" w:hAnsi="仿宋" w:eastAsia="仿宋" w:cs="仿宋"/>
          <w:snapToGrid w:val="0"/>
          <w:color w:val="auto"/>
          <w:kern w:val="0"/>
          <w:sz w:val="22"/>
          <w:szCs w:val="22"/>
          <w:lang w:eastAsia="en-US"/>
        </w:rPr>
      </w:pP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snapToGrid w:val="0"/>
          <w:color w:val="auto"/>
          <w:kern w:val="0"/>
          <w:sz w:val="32"/>
          <w:szCs w:val="32"/>
          <w:lang w:val="en-US" w:eastAsia="zh-CN"/>
        </w:rPr>
      </w:pPr>
      <w:r>
        <w:rPr>
          <w:rFonts w:hint="eastAsia" w:ascii="仿宋" w:hAnsi="仿宋" w:eastAsia="仿宋" w:cs="仿宋"/>
          <w:snapToGrid w:val="0"/>
          <w:color w:val="auto"/>
          <w:kern w:val="0"/>
          <w:sz w:val="32"/>
          <w:szCs w:val="32"/>
          <w:lang w:eastAsia="en-US"/>
        </w:rPr>
        <w:t>编制单位：</w:t>
      </w:r>
      <w:r>
        <w:rPr>
          <w:rFonts w:hint="eastAsia" w:ascii="仿宋" w:hAnsi="仿宋" w:eastAsia="仿宋" w:cs="仿宋"/>
          <w:snapToGrid w:val="0"/>
          <w:color w:val="auto"/>
          <w:kern w:val="0"/>
          <w:sz w:val="32"/>
          <w:szCs w:val="32"/>
          <w:lang w:val="en-US" w:eastAsia="zh-CN"/>
        </w:rPr>
        <w:t>珠海正方慧通科技有限公司</w:t>
      </w:r>
    </w:p>
    <w:p>
      <w:pPr>
        <w:widowControl/>
        <w:kinsoku w:val="0"/>
        <w:autoSpaceDE w:val="0"/>
        <w:autoSpaceDN w:val="0"/>
        <w:bidi w:val="0"/>
        <w:adjustRightInd w:val="0"/>
        <w:snapToGrid w:val="0"/>
        <w:spacing w:line="240" w:lineRule="auto"/>
        <w:ind w:firstLine="2240" w:firstLineChars="700"/>
        <w:jc w:val="both"/>
        <w:textAlignment w:val="baseline"/>
        <w:rPr>
          <w:rFonts w:hint="eastAsia" w:ascii="仿宋" w:hAnsi="仿宋" w:eastAsia="仿宋" w:cs="仿宋"/>
          <w:snapToGrid w:val="0"/>
          <w:color w:val="auto"/>
          <w:kern w:val="0"/>
          <w:sz w:val="32"/>
          <w:szCs w:val="32"/>
          <w:lang w:eastAsia="en-US"/>
        </w:rPr>
      </w:pPr>
      <w:r>
        <w:rPr>
          <w:rFonts w:hint="eastAsia" w:ascii="仿宋" w:hAnsi="仿宋" w:eastAsia="仿宋" w:cs="仿宋"/>
          <w:snapToGrid w:val="0"/>
          <w:color w:val="auto"/>
          <w:kern w:val="0"/>
          <w:sz w:val="32"/>
          <w:szCs w:val="32"/>
          <w:lang w:eastAsia="en-US"/>
        </w:rPr>
        <w:t>编制日期：202</w:t>
      </w:r>
      <w:r>
        <w:rPr>
          <w:rFonts w:hint="eastAsia" w:ascii="仿宋" w:hAnsi="仿宋" w:eastAsia="仿宋" w:cs="仿宋"/>
          <w:snapToGrid w:val="0"/>
          <w:color w:val="auto"/>
          <w:kern w:val="0"/>
          <w:sz w:val="32"/>
          <w:szCs w:val="32"/>
          <w:lang w:val="en-US" w:eastAsia="zh-CN"/>
        </w:rPr>
        <w:t>6</w:t>
      </w:r>
      <w:r>
        <w:rPr>
          <w:rFonts w:hint="eastAsia" w:ascii="仿宋" w:hAnsi="仿宋" w:eastAsia="仿宋" w:cs="仿宋"/>
          <w:snapToGrid w:val="0"/>
          <w:color w:val="auto"/>
          <w:kern w:val="0"/>
          <w:sz w:val="32"/>
          <w:szCs w:val="32"/>
          <w:lang w:eastAsia="en-US"/>
        </w:rPr>
        <w:t>年</w:t>
      </w:r>
      <w:r>
        <w:rPr>
          <w:rFonts w:hint="eastAsia" w:ascii="仿宋" w:hAnsi="仿宋" w:eastAsia="仿宋" w:cs="仿宋"/>
          <w:snapToGrid w:val="0"/>
          <w:color w:val="auto"/>
          <w:kern w:val="0"/>
          <w:sz w:val="32"/>
          <w:szCs w:val="32"/>
          <w:lang w:val="en-US" w:eastAsia="zh-CN"/>
        </w:rPr>
        <w:t>9</w:t>
      </w:r>
      <w:r>
        <w:rPr>
          <w:rFonts w:hint="eastAsia" w:ascii="仿宋" w:hAnsi="仿宋" w:eastAsia="仿宋" w:cs="仿宋"/>
          <w:snapToGrid w:val="0"/>
          <w:color w:val="auto"/>
          <w:kern w:val="0"/>
          <w:sz w:val="32"/>
          <w:szCs w:val="32"/>
          <w:lang w:eastAsia="en-US"/>
        </w:rPr>
        <w:t>月</w:t>
      </w:r>
    </w:p>
    <w:p>
      <w:pPr>
        <w:bidi w:val="0"/>
        <w:jc w:val="center"/>
        <w:rPr>
          <w:rFonts w:hint="eastAsia" w:ascii="仿宋" w:hAnsi="仿宋" w:eastAsia="仿宋" w:cs="仿宋"/>
          <w:color w:val="auto"/>
          <w:sz w:val="32"/>
          <w:szCs w:val="32"/>
        </w:rPr>
        <w:sectPr>
          <w:footerReference r:id="rId7" w:type="default"/>
          <w:pgSz w:w="11906" w:h="16839"/>
          <w:pgMar w:top="1431" w:right="1785" w:bottom="0" w:left="1785" w:header="0" w:footer="0"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Lines="50" w:afterLines="50" w:line="240" w:lineRule="auto"/>
        <w:jc w:val="left"/>
        <w:textAlignment w:val="baseline"/>
        <w:rPr>
          <w:rFonts w:hint="eastAsia" w:ascii="仿宋" w:hAnsi="仿宋" w:eastAsia="仿宋" w:cs="仿宋"/>
          <w:b/>
          <w:bCs/>
          <w:snapToGrid w:val="0"/>
          <w:color w:val="auto"/>
          <w:kern w:val="0"/>
          <w:sz w:val="32"/>
          <w:szCs w:val="32"/>
          <w:lang w:eastAsia="en-US"/>
        </w:rPr>
      </w:pPr>
      <w:r>
        <w:rPr>
          <w:rFonts w:hint="eastAsia" w:ascii="仿宋" w:hAnsi="仿宋" w:eastAsia="仿宋" w:cs="仿宋"/>
          <w:b/>
          <w:bCs/>
          <w:snapToGrid w:val="0"/>
          <w:color w:val="auto"/>
          <w:kern w:val="0"/>
          <w:sz w:val="32"/>
          <w:szCs w:val="32"/>
          <w:lang w:eastAsia="en-US"/>
        </w:rPr>
        <w:t>一、项目概况</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snapToGrid w:val="0"/>
          <w:color w:val="auto"/>
          <w:kern w:val="0"/>
          <w:sz w:val="28"/>
          <w:szCs w:val="28"/>
          <w:lang w:val="en-US" w:eastAsia="zh-CN"/>
        </w:rPr>
      </w:pPr>
      <w:r>
        <w:rPr>
          <w:rFonts w:hint="eastAsia" w:ascii="仿宋" w:hAnsi="仿宋" w:eastAsia="仿宋" w:cs="仿宋"/>
          <w:snapToGrid w:val="0"/>
          <w:color w:val="auto"/>
          <w:kern w:val="0"/>
          <w:sz w:val="28"/>
          <w:szCs w:val="28"/>
          <w:lang w:val="en-US" w:eastAsia="zh-CN"/>
        </w:rPr>
        <w:t>1、</w:t>
      </w:r>
      <w:r>
        <w:rPr>
          <w:rFonts w:hint="eastAsia" w:ascii="仿宋" w:hAnsi="仿宋" w:eastAsia="仿宋" w:cs="仿宋"/>
          <w:snapToGrid w:val="0"/>
          <w:color w:val="auto"/>
          <w:kern w:val="0"/>
          <w:sz w:val="28"/>
          <w:szCs w:val="28"/>
          <w:lang w:eastAsia="en-US"/>
        </w:rPr>
        <w:t>迎宾南停车场（将军山社区公园）项目位于广东省珠海市香洲区拱北迎宾南路 2242 号，停车场车位 136 个，面积 2040 平方米，场内配置 2 台迅达 Schindler 5000 曳引驱动乘客电梯，由我司负责管理</w:t>
      </w:r>
      <w:r>
        <w:rPr>
          <w:rFonts w:hint="eastAsia" w:ascii="仿宋" w:hAnsi="仿宋" w:eastAsia="仿宋" w:cs="仿宋"/>
          <w:snapToGrid w:val="0"/>
          <w:color w:val="auto"/>
          <w:kern w:val="0"/>
          <w:sz w:val="28"/>
          <w:szCs w:val="28"/>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snapToGrid w:val="0"/>
          <w:color w:val="auto"/>
          <w:kern w:val="0"/>
          <w:sz w:val="28"/>
          <w:szCs w:val="28"/>
          <w:lang w:val="en-US" w:eastAsia="zh-CN"/>
        </w:rPr>
      </w:pPr>
      <w:r>
        <w:rPr>
          <w:rFonts w:hint="eastAsia" w:ascii="仿宋" w:hAnsi="仿宋" w:eastAsia="仿宋" w:cs="仿宋"/>
          <w:snapToGrid w:val="0"/>
          <w:color w:val="auto"/>
          <w:kern w:val="0"/>
          <w:sz w:val="28"/>
          <w:szCs w:val="28"/>
          <w:lang w:val="en-US" w:eastAsia="zh-CN"/>
        </w:rPr>
        <w:t>2、电梯设备信息：</w:t>
      </w:r>
    </w:p>
    <w:tbl>
      <w:tblPr>
        <w:tblStyle w:val="15"/>
        <w:tblW w:w="107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713"/>
        <w:gridCol w:w="1237"/>
        <w:gridCol w:w="2618"/>
        <w:gridCol w:w="2618"/>
        <w:gridCol w:w="1781"/>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blHeader/>
          <w:jc w:val="center"/>
        </w:trPr>
        <w:tc>
          <w:tcPr>
            <w:tcW w:w="48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snapToGrid w:val="0"/>
                <w:color w:val="auto"/>
                <w:kern w:val="0"/>
                <w:sz w:val="24"/>
                <w:szCs w:val="24"/>
                <w:vertAlign w:val="baseline"/>
                <w:lang w:val="en-US" w:eastAsia="zh-CN"/>
              </w:rPr>
            </w:pPr>
            <w:r>
              <w:rPr>
                <w:rFonts w:hint="eastAsia" w:ascii="仿宋" w:hAnsi="仿宋" w:eastAsia="仿宋" w:cs="仿宋"/>
                <w:b/>
                <w:snapToGrid w:val="0"/>
                <w:color w:val="auto"/>
                <w:kern w:val="0"/>
                <w:sz w:val="24"/>
                <w:szCs w:val="24"/>
                <w:vertAlign w:val="baseline"/>
                <w:lang w:val="en-US" w:eastAsia="zh-CN"/>
              </w:rPr>
              <w:t>序号</w:t>
            </w:r>
          </w:p>
        </w:tc>
        <w:tc>
          <w:tcPr>
            <w:tcW w:w="71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snapToGrid w:val="0"/>
                <w:color w:val="auto"/>
                <w:kern w:val="0"/>
                <w:sz w:val="24"/>
                <w:szCs w:val="24"/>
                <w:vertAlign w:val="baseline"/>
                <w:lang w:val="en-US" w:eastAsia="zh-CN"/>
              </w:rPr>
            </w:pPr>
            <w:r>
              <w:rPr>
                <w:rFonts w:hint="eastAsia" w:ascii="仿宋" w:hAnsi="仿宋" w:eastAsia="仿宋" w:cs="仿宋"/>
                <w:b/>
                <w:snapToGrid w:val="0"/>
                <w:color w:val="auto"/>
                <w:kern w:val="0"/>
                <w:sz w:val="24"/>
                <w:szCs w:val="24"/>
                <w:vertAlign w:val="baseline"/>
                <w:lang w:val="en-US" w:eastAsia="zh-CN"/>
              </w:rPr>
              <w:t>设备内部编号</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snapToGrid w:val="0"/>
                <w:color w:val="auto"/>
                <w:kern w:val="0"/>
                <w:sz w:val="24"/>
                <w:szCs w:val="24"/>
                <w:vertAlign w:val="baseline"/>
                <w:lang w:val="en-US" w:eastAsia="zh-CN"/>
              </w:rPr>
            </w:pPr>
            <w:r>
              <w:rPr>
                <w:rFonts w:hint="eastAsia" w:ascii="仿宋" w:hAnsi="仿宋" w:eastAsia="仿宋" w:cs="仿宋"/>
                <w:b/>
                <w:snapToGrid w:val="0"/>
                <w:color w:val="auto"/>
                <w:kern w:val="0"/>
                <w:sz w:val="24"/>
                <w:szCs w:val="24"/>
                <w:vertAlign w:val="baseline"/>
                <w:lang w:val="en-US" w:eastAsia="zh-CN"/>
              </w:rPr>
              <w:t>产品出厂编号</w:t>
            </w:r>
          </w:p>
        </w:tc>
        <w:tc>
          <w:tcPr>
            <w:tcW w:w="2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snapToGrid w:val="0"/>
                <w:color w:val="auto"/>
                <w:kern w:val="0"/>
                <w:sz w:val="24"/>
                <w:szCs w:val="24"/>
                <w:vertAlign w:val="baseline"/>
                <w:lang w:val="en-US" w:eastAsia="zh-CN"/>
              </w:rPr>
            </w:pPr>
            <w:r>
              <w:rPr>
                <w:rFonts w:hint="eastAsia" w:ascii="仿宋" w:hAnsi="仿宋" w:eastAsia="仿宋" w:cs="仿宋"/>
                <w:b/>
                <w:snapToGrid w:val="0"/>
                <w:color w:val="auto"/>
                <w:kern w:val="0"/>
                <w:sz w:val="24"/>
                <w:szCs w:val="24"/>
                <w:vertAlign w:val="baseline"/>
                <w:lang w:val="en-US" w:eastAsia="zh-CN"/>
              </w:rPr>
              <w:t>设备代码</w:t>
            </w:r>
          </w:p>
        </w:tc>
        <w:tc>
          <w:tcPr>
            <w:tcW w:w="2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snapToGrid w:val="0"/>
                <w:color w:val="auto"/>
                <w:kern w:val="0"/>
                <w:sz w:val="24"/>
                <w:szCs w:val="24"/>
                <w:vertAlign w:val="baseline"/>
                <w:lang w:val="en-US" w:eastAsia="zh-CN"/>
              </w:rPr>
            </w:pPr>
            <w:r>
              <w:rPr>
                <w:rFonts w:hint="eastAsia" w:ascii="仿宋" w:hAnsi="仿宋" w:eastAsia="仿宋" w:cs="仿宋"/>
                <w:b/>
                <w:snapToGrid w:val="0"/>
                <w:color w:val="auto"/>
                <w:kern w:val="0"/>
                <w:sz w:val="24"/>
                <w:szCs w:val="24"/>
                <w:vertAlign w:val="baseline"/>
                <w:lang w:val="en-US" w:eastAsia="zh-CN"/>
              </w:rPr>
              <w:t>注册代码</w:t>
            </w:r>
          </w:p>
        </w:tc>
        <w:tc>
          <w:tcPr>
            <w:tcW w:w="178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snapToGrid w:val="0"/>
                <w:color w:val="auto"/>
                <w:kern w:val="0"/>
                <w:sz w:val="24"/>
                <w:szCs w:val="24"/>
                <w:vertAlign w:val="baseline"/>
                <w:lang w:val="en-US" w:eastAsia="zh-CN"/>
              </w:rPr>
            </w:pPr>
            <w:r>
              <w:rPr>
                <w:rFonts w:hint="eastAsia" w:ascii="仿宋" w:hAnsi="仿宋" w:eastAsia="仿宋" w:cs="仿宋"/>
                <w:b/>
                <w:snapToGrid w:val="0"/>
                <w:color w:val="auto"/>
                <w:kern w:val="0"/>
                <w:sz w:val="24"/>
                <w:szCs w:val="24"/>
                <w:vertAlign w:val="baseline"/>
                <w:lang w:val="en-US" w:eastAsia="zh-CN"/>
              </w:rPr>
              <w:t>设备使用地点</w:t>
            </w:r>
          </w:p>
        </w:tc>
        <w:tc>
          <w:tcPr>
            <w:tcW w:w="125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snapToGrid w:val="0"/>
                <w:color w:val="auto"/>
                <w:kern w:val="0"/>
                <w:sz w:val="24"/>
                <w:szCs w:val="24"/>
                <w:vertAlign w:val="baseline"/>
                <w:lang w:val="en-US" w:eastAsia="zh-CN"/>
              </w:rPr>
            </w:pPr>
            <w:r>
              <w:rPr>
                <w:rFonts w:hint="eastAsia" w:ascii="仿宋" w:hAnsi="仿宋" w:eastAsia="仿宋" w:cs="仿宋"/>
                <w:b/>
                <w:snapToGrid w:val="0"/>
                <w:color w:val="auto"/>
                <w:kern w:val="0"/>
                <w:sz w:val="24"/>
                <w:szCs w:val="24"/>
                <w:vertAlign w:val="baseline"/>
                <w:lang w:val="en-US" w:eastAsia="zh-CN"/>
              </w:rPr>
              <w:t>产权单位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8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1</w:t>
            </w:r>
          </w:p>
        </w:tc>
        <w:tc>
          <w:tcPr>
            <w:tcW w:w="71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DT1</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19162617</w:t>
            </w:r>
          </w:p>
        </w:tc>
        <w:tc>
          <w:tcPr>
            <w:tcW w:w="2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31101009120244015379</w:t>
            </w:r>
          </w:p>
        </w:tc>
        <w:tc>
          <w:tcPr>
            <w:tcW w:w="2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31104404002024110197</w:t>
            </w:r>
          </w:p>
        </w:tc>
        <w:tc>
          <w:tcPr>
            <w:tcW w:w="178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广东省珠海市香洲区拱北迎宾南路 2242 号（迎宾南路东侧，名门大厦北侧，将军山社区公园内）</w:t>
            </w:r>
          </w:p>
        </w:tc>
        <w:tc>
          <w:tcPr>
            <w:tcW w:w="125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深圳市建艺装饰集团股份有限公司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8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2</w:t>
            </w:r>
          </w:p>
        </w:tc>
        <w:tc>
          <w:tcPr>
            <w:tcW w:w="71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000000"/>
                <w:kern w:val="0"/>
                <w:sz w:val="24"/>
                <w:szCs w:val="22"/>
                <w:lang w:eastAsia="en-US"/>
              </w:rPr>
              <w:t>DT</w:t>
            </w:r>
            <w:r>
              <w:rPr>
                <w:rFonts w:hint="eastAsia" w:ascii="仿宋" w:hAnsi="仿宋" w:eastAsia="仿宋" w:cs="仿宋"/>
                <w:snapToGrid w:val="0"/>
                <w:color w:val="000000"/>
                <w:kern w:val="0"/>
                <w:sz w:val="24"/>
                <w:szCs w:val="22"/>
                <w:lang w:val="en-US" w:eastAsia="zh-CN"/>
              </w:rPr>
              <w:t>2</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19162618</w:t>
            </w:r>
          </w:p>
        </w:tc>
        <w:tc>
          <w:tcPr>
            <w:tcW w:w="2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31101009120244015360</w:t>
            </w:r>
          </w:p>
        </w:tc>
        <w:tc>
          <w:tcPr>
            <w:tcW w:w="2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31104404002024110198</w:t>
            </w:r>
          </w:p>
        </w:tc>
        <w:tc>
          <w:tcPr>
            <w:tcW w:w="178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广东省珠海市香洲区拱北迎宾南路 2242 号（迎宾南路东侧，名门大厦北侧，将军山社区公园内）</w:t>
            </w:r>
          </w:p>
        </w:tc>
        <w:tc>
          <w:tcPr>
            <w:tcW w:w="125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kern w:val="0"/>
                <w:sz w:val="24"/>
                <w:szCs w:val="24"/>
                <w:vertAlign w:val="baseline"/>
                <w:lang w:val="en-US" w:eastAsia="zh-CN"/>
              </w:rPr>
            </w:pPr>
            <w:r>
              <w:rPr>
                <w:rFonts w:hint="eastAsia" w:ascii="仿宋" w:hAnsi="仿宋" w:eastAsia="仿宋" w:cs="仿宋"/>
                <w:snapToGrid w:val="0"/>
                <w:color w:val="auto"/>
                <w:kern w:val="0"/>
                <w:sz w:val="24"/>
                <w:szCs w:val="24"/>
                <w:vertAlign w:val="baseline"/>
                <w:lang w:val="en-US" w:eastAsia="zh-CN"/>
              </w:rPr>
              <w:t>深圳市建艺装饰集团股份有限公司</w:t>
            </w:r>
          </w:p>
        </w:tc>
      </w:tr>
    </w:tbl>
    <w:p>
      <w:pPr>
        <w:keepNext w:val="0"/>
        <w:keepLines w:val="0"/>
        <w:pageBreakBefore w:val="0"/>
        <w:widowControl/>
        <w:kinsoku w:val="0"/>
        <w:wordWrap/>
        <w:overflowPunct/>
        <w:topLinePunct w:val="0"/>
        <w:autoSpaceDE w:val="0"/>
        <w:autoSpaceDN w:val="0"/>
        <w:bidi w:val="0"/>
        <w:adjustRightInd w:val="0"/>
        <w:snapToGrid w:val="0"/>
        <w:spacing w:beforeLines="50" w:afterLines="50" w:line="240" w:lineRule="auto"/>
        <w:jc w:val="left"/>
        <w:textAlignment w:val="baseline"/>
        <w:rPr>
          <w:rFonts w:hint="eastAsia" w:ascii="仿宋" w:hAnsi="仿宋" w:eastAsia="仿宋" w:cs="仿宋"/>
          <w:b/>
          <w:bCs/>
          <w:snapToGrid w:val="0"/>
          <w:color w:val="auto"/>
          <w:kern w:val="0"/>
          <w:sz w:val="32"/>
          <w:szCs w:val="32"/>
          <w:lang w:eastAsia="zh-CN"/>
        </w:rPr>
      </w:pPr>
      <w:r>
        <w:rPr>
          <w:rFonts w:hint="eastAsia" w:ascii="仿宋" w:hAnsi="仿宋" w:eastAsia="仿宋" w:cs="仿宋"/>
          <w:b/>
          <w:bCs/>
          <w:snapToGrid w:val="0"/>
          <w:color w:val="auto"/>
          <w:kern w:val="0"/>
          <w:sz w:val="32"/>
          <w:szCs w:val="32"/>
          <w:lang w:val="en-US" w:eastAsia="zh-CN"/>
        </w:rPr>
        <w:t>二</w:t>
      </w:r>
      <w:r>
        <w:rPr>
          <w:rFonts w:hint="eastAsia" w:ascii="仿宋" w:hAnsi="仿宋" w:eastAsia="仿宋" w:cs="仿宋"/>
          <w:b/>
          <w:bCs/>
          <w:snapToGrid w:val="0"/>
          <w:color w:val="auto"/>
          <w:kern w:val="0"/>
          <w:sz w:val="32"/>
          <w:szCs w:val="32"/>
          <w:lang w:eastAsia="en-US"/>
        </w:rPr>
        <w:t>、具体要求</w:t>
      </w:r>
      <w:r>
        <w:rPr>
          <w:rFonts w:hint="eastAsia" w:ascii="仿宋" w:hAnsi="仿宋" w:eastAsia="仿宋" w:cs="仿宋"/>
          <w:b/>
          <w:bCs/>
          <w:snapToGrid w:val="0"/>
          <w:color w:val="auto"/>
          <w:kern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1、日常维护保养的电梯</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甲乙双方约定，由乙方为合同中列明的甲方使用、管理的电梯提供日常的维护、保养和抢修服务，并购买电梯责任保险。</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2、日常维护保养内容</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乙方应当按照《电梯使用管理与维护保养规则》(TSGT5002-2017)的规定完成半月、季度、半年、年度的维保项目，并做好维护保养记录。</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3、电梯责任保险</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甲方委托乙方维保的电梯,由乙方负责向保险公司购买符合广东省电梯安全监管改革方案的责任保险，且一次性事故最高赔偿金额不低于100万元(人民币)。</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4、日常维护保养标准</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实施日常维护保养后的电梯应当符合《电梯维修规范》(GB/T18775)《电梯制造与安装安全规范》(GB7588)和《自动扶梯和自动人行道的制造与安装安全规范》(GB16899)的相关规定。</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5、日常维护保养期限</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snapToGrid w:val="0"/>
          <w:color w:val="auto"/>
          <w:kern w:val="0"/>
          <w:sz w:val="28"/>
          <w:szCs w:val="28"/>
          <w:lang w:eastAsia="zh-CN"/>
        </w:rPr>
        <w:t>自甲方发出进场通知之日起计算，服务周期为</w:t>
      </w:r>
      <w:r>
        <w:rPr>
          <w:rFonts w:hint="eastAsia" w:ascii="仿宋" w:hAnsi="仿宋" w:eastAsia="仿宋" w:cs="仿宋"/>
          <w:snapToGrid w:val="0"/>
          <w:color w:val="auto"/>
          <w:kern w:val="0"/>
          <w:sz w:val="28"/>
          <w:szCs w:val="28"/>
          <w:lang w:val="en-US" w:eastAsia="zh-CN"/>
        </w:rPr>
        <w:t>一</w:t>
      </w:r>
      <w:r>
        <w:rPr>
          <w:rFonts w:hint="eastAsia" w:ascii="仿宋" w:hAnsi="仿宋" w:eastAsia="仿宋" w:cs="仿宋"/>
          <w:snapToGrid w:val="0"/>
          <w:color w:val="auto"/>
          <w:kern w:val="0"/>
          <w:sz w:val="28"/>
          <w:szCs w:val="28"/>
          <w:lang w:eastAsia="zh-CN"/>
        </w:rPr>
        <w:t>年。</w:t>
      </w:r>
      <w:r>
        <w:rPr>
          <w:rFonts w:hint="eastAsia" w:ascii="仿宋" w:hAnsi="仿宋" w:eastAsia="仿宋" w:cs="仿宋"/>
          <w:b w:val="0"/>
          <w:bCs w:val="0"/>
          <w:snapToGrid w:val="0"/>
          <w:color w:val="auto"/>
          <w:kern w:val="0"/>
          <w:sz w:val="28"/>
          <w:szCs w:val="28"/>
          <w:lang w:val="en-US" w:eastAsia="zh-CN"/>
        </w:rPr>
        <w:t>如甲、乙双方同意期限届满后续约的，应当于期限届满30日前重新协商并签订合同或采购订单。</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eastAsia="zh-CN"/>
        </w:rPr>
      </w:pPr>
      <w:r>
        <w:rPr>
          <w:rFonts w:hint="eastAsia" w:ascii="仿宋" w:hAnsi="仿宋" w:eastAsia="仿宋" w:cs="仿宋"/>
          <w:b w:val="0"/>
          <w:bCs w:val="0"/>
          <w:snapToGrid w:val="0"/>
          <w:color w:val="auto"/>
          <w:kern w:val="0"/>
          <w:sz w:val="28"/>
          <w:szCs w:val="28"/>
          <w:lang w:val="en-US" w:eastAsia="zh-CN"/>
        </w:rPr>
        <w:t>6、日常维护保养费</w:t>
      </w:r>
    </w:p>
    <w:tbl>
      <w:tblPr>
        <w:tblStyle w:val="15"/>
        <w:tblW w:w="105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8"/>
        <w:gridCol w:w="1673"/>
        <w:gridCol w:w="1761"/>
        <w:gridCol w:w="631"/>
        <w:gridCol w:w="805"/>
        <w:gridCol w:w="1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blHeader/>
          <w:jc w:val="center"/>
        </w:trPr>
        <w:tc>
          <w:tcPr>
            <w:tcW w:w="39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bCs w:val="0"/>
                <w:snapToGrid w:val="0"/>
                <w:color w:val="auto"/>
                <w:kern w:val="0"/>
                <w:sz w:val="24"/>
                <w:szCs w:val="24"/>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rPr>
              <w:t>电梯类别（品牌）</w:t>
            </w:r>
          </w:p>
        </w:tc>
        <w:tc>
          <w:tcPr>
            <w:tcW w:w="167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bCs w:val="0"/>
                <w:snapToGrid w:val="0"/>
                <w:color w:val="auto"/>
                <w:kern w:val="0"/>
                <w:sz w:val="24"/>
                <w:szCs w:val="24"/>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rPr>
              <w:t>日常维保养护方式</w:t>
            </w:r>
          </w:p>
        </w:tc>
        <w:tc>
          <w:tcPr>
            <w:tcW w:w="176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bCs w:val="0"/>
                <w:snapToGrid w:val="0"/>
                <w:color w:val="auto"/>
                <w:kern w:val="0"/>
                <w:sz w:val="24"/>
                <w:szCs w:val="24"/>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rPr>
              <w:t>维保单价/元/台/月</w:t>
            </w:r>
          </w:p>
        </w:tc>
        <w:tc>
          <w:tcPr>
            <w:tcW w:w="63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bCs w:val="0"/>
                <w:snapToGrid w:val="0"/>
                <w:color w:val="auto"/>
                <w:kern w:val="0"/>
                <w:sz w:val="24"/>
                <w:szCs w:val="24"/>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rPr>
              <w:t>单位</w:t>
            </w:r>
          </w:p>
        </w:tc>
        <w:tc>
          <w:tcPr>
            <w:tcW w:w="805"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bCs w:val="0"/>
                <w:snapToGrid w:val="0"/>
                <w:color w:val="auto"/>
                <w:kern w:val="0"/>
                <w:sz w:val="24"/>
                <w:szCs w:val="24"/>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rPr>
              <w:t>总数量</w:t>
            </w:r>
          </w:p>
        </w:tc>
        <w:tc>
          <w:tcPr>
            <w:tcW w:w="166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bCs w:val="0"/>
                <w:snapToGrid w:val="0"/>
                <w:color w:val="auto"/>
                <w:kern w:val="0"/>
                <w:sz w:val="24"/>
                <w:szCs w:val="24"/>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397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val="0"/>
                <w:bCs w:val="0"/>
                <w:snapToGrid w:val="0"/>
                <w:color w:val="auto"/>
                <w:kern w:val="0"/>
                <w:sz w:val="24"/>
                <w:szCs w:val="24"/>
                <w:vertAlign w:val="baseline"/>
                <w:lang w:val="en-US" w:eastAsia="zh-CN"/>
              </w:rPr>
            </w:pPr>
            <w:r>
              <w:rPr>
                <w:rFonts w:ascii="仿宋" w:hAnsi="宋体" w:eastAsia="仿宋" w:cs="宋体"/>
                <w:snapToGrid w:val="0"/>
                <w:color w:val="000000"/>
                <w:kern w:val="0"/>
                <w:sz w:val="24"/>
                <w:szCs w:val="24"/>
                <w:lang w:eastAsia="en-US"/>
              </w:rPr>
              <w:t>迎宾南停车场（迅达 Schindler 5000 直梯）</w:t>
            </w:r>
          </w:p>
        </w:tc>
        <w:tc>
          <w:tcPr>
            <w:tcW w:w="167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val="0"/>
                <w:bCs w:val="0"/>
                <w:snapToGrid w:val="0"/>
                <w:color w:val="auto"/>
                <w:kern w:val="0"/>
                <w:sz w:val="24"/>
                <w:szCs w:val="24"/>
                <w:vertAlign w:val="baseline"/>
                <w:lang w:val="en-US" w:eastAsia="zh-CN"/>
              </w:rPr>
            </w:pPr>
            <w:r>
              <w:rPr>
                <w:rFonts w:hint="eastAsia" w:ascii="仿宋" w:hAnsi="仿宋" w:eastAsia="仿宋" w:cs="仿宋"/>
                <w:b w:val="0"/>
                <w:bCs w:val="0"/>
                <w:snapToGrid w:val="0"/>
                <w:color w:val="auto"/>
                <w:kern w:val="0"/>
                <w:sz w:val="24"/>
                <w:szCs w:val="24"/>
                <w:vertAlign w:val="baseline"/>
                <w:lang w:val="en-US" w:eastAsia="zh-CN"/>
              </w:rPr>
              <w:t>半包</w:t>
            </w:r>
          </w:p>
        </w:tc>
        <w:tc>
          <w:tcPr>
            <w:tcW w:w="176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right"/>
              <w:textAlignment w:val="baseline"/>
              <w:rPr>
                <w:rFonts w:hint="eastAsia" w:ascii="仿宋" w:hAnsi="仿宋" w:eastAsia="仿宋" w:cs="仿宋"/>
                <w:b w:val="0"/>
                <w:bCs w:val="0"/>
                <w:snapToGrid w:val="0"/>
                <w:color w:val="auto"/>
                <w:kern w:val="0"/>
                <w:sz w:val="24"/>
                <w:szCs w:val="24"/>
                <w:vertAlign w:val="baseline"/>
                <w:lang w:eastAsia="zh-CN"/>
              </w:rPr>
            </w:pPr>
          </w:p>
        </w:tc>
        <w:tc>
          <w:tcPr>
            <w:tcW w:w="631"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val="0"/>
                <w:bCs w:val="0"/>
                <w:snapToGrid w:val="0"/>
                <w:color w:val="auto"/>
                <w:kern w:val="0"/>
                <w:sz w:val="24"/>
                <w:szCs w:val="24"/>
                <w:vertAlign w:val="baseline"/>
                <w:lang w:val="en-US" w:eastAsia="zh-CN"/>
              </w:rPr>
            </w:pPr>
            <w:r>
              <w:rPr>
                <w:rFonts w:hint="eastAsia" w:ascii="仿宋" w:hAnsi="仿宋" w:eastAsia="仿宋" w:cs="仿宋"/>
                <w:b w:val="0"/>
                <w:bCs w:val="0"/>
                <w:snapToGrid w:val="0"/>
                <w:color w:val="auto"/>
                <w:kern w:val="0"/>
                <w:sz w:val="24"/>
                <w:szCs w:val="24"/>
                <w:vertAlign w:val="baseline"/>
                <w:lang w:val="en-US" w:eastAsia="zh-CN"/>
              </w:rPr>
              <w:t>台</w:t>
            </w:r>
          </w:p>
        </w:tc>
        <w:tc>
          <w:tcPr>
            <w:tcW w:w="805"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val="0"/>
                <w:bCs w:val="0"/>
                <w:snapToGrid w:val="0"/>
                <w:color w:val="auto"/>
                <w:kern w:val="0"/>
                <w:sz w:val="24"/>
                <w:szCs w:val="24"/>
                <w:vertAlign w:val="baseline"/>
                <w:lang w:val="en-US" w:eastAsia="zh-CN"/>
              </w:rPr>
            </w:pPr>
            <w:r>
              <w:rPr>
                <w:rFonts w:hint="eastAsia" w:ascii="仿宋" w:hAnsi="仿宋" w:eastAsia="仿宋" w:cs="仿宋"/>
                <w:b w:val="0"/>
                <w:bCs w:val="0"/>
                <w:snapToGrid w:val="0"/>
                <w:color w:val="auto"/>
                <w:kern w:val="0"/>
                <w:sz w:val="24"/>
                <w:szCs w:val="24"/>
                <w:vertAlign w:val="baseline"/>
                <w:lang w:val="en-US" w:eastAsia="zh-CN"/>
              </w:rPr>
              <w:t>2</w:t>
            </w:r>
          </w:p>
        </w:tc>
        <w:tc>
          <w:tcPr>
            <w:tcW w:w="166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val="0"/>
                <w:bCs w:val="0"/>
                <w:snapToGrid w:val="0"/>
                <w:color w:val="auto"/>
                <w:kern w:val="0"/>
                <w:sz w:val="24"/>
                <w:szCs w:val="24"/>
                <w:vertAlign w:val="baseline"/>
                <w:lang w:val="en-US" w:eastAsia="zh-CN"/>
              </w:rPr>
            </w:pPr>
            <w:r>
              <w:rPr>
                <w:rFonts w:ascii="仿宋" w:hAnsi="宋体" w:eastAsia="仿宋" w:cs="宋体"/>
                <w:snapToGrid w:val="0"/>
                <w:color w:val="000000"/>
                <w:kern w:val="0"/>
                <w:sz w:val="24"/>
                <w:szCs w:val="24"/>
                <w:lang w:eastAsia="en-US"/>
              </w:rPr>
              <w:t>曳引驱动乘客电梯</w:t>
            </w:r>
          </w:p>
        </w:tc>
      </w:tr>
    </w:tbl>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eastAsia="zh-CN"/>
        </w:rPr>
      </w:pPr>
      <w:r>
        <w:rPr>
          <w:rFonts w:hint="eastAsia" w:ascii="仿宋" w:hAnsi="仿宋" w:eastAsia="仿宋" w:cs="仿宋"/>
          <w:b w:val="0"/>
          <w:bCs w:val="0"/>
          <w:snapToGrid w:val="0"/>
          <w:color w:val="auto"/>
          <w:kern w:val="0"/>
          <w:sz w:val="28"/>
          <w:szCs w:val="28"/>
          <w:lang w:eastAsia="zh-CN"/>
        </w:rPr>
        <w:t>此维保价格包含该项目电梯维护保养所有的人力成本、检查费、税费、保险费的全包价，包含500元及以下零配件;不包含500元以上零配件，不包含不可抗力因素及人为因素导致损坏的电梯配件;电梯年审所需的平衡系数、载荷测试、限速器测试由甲方委托乙方代办，甲方另行支付该费用。乙方向甲方报送结算资料时存在漏报或不报情况时，甲方将视为该漏报或不报部分的费用已包括在已报的报价中而不予再支付，乙方不能以漏报或未报为由要求甲方补充或另行支付。</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highlight w:val="none"/>
          <w:lang w:eastAsia="zh-CN"/>
        </w:rPr>
      </w:pPr>
      <w:r>
        <w:rPr>
          <w:rFonts w:hint="eastAsia" w:ascii="仿宋" w:hAnsi="仿宋" w:eastAsia="仿宋" w:cs="仿宋"/>
          <w:b w:val="0"/>
          <w:bCs w:val="0"/>
          <w:snapToGrid w:val="0"/>
          <w:color w:val="auto"/>
          <w:kern w:val="0"/>
          <w:sz w:val="28"/>
          <w:szCs w:val="28"/>
          <w:highlight w:val="none"/>
          <w:lang w:eastAsia="zh-CN"/>
        </w:rPr>
        <w:t>乙方配合完成电梯每年 1 次年检工作，年检安排在每年 10 月份实施。由乙方负责办理所有政府部门电(扶)梯年检的申报、接送、取证等一条龙工作，并通过年审。</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合同前三个月为试用考核期，如考核合格则本合同自动有效至服务期限结束;如考核不合格则乙方按照甲方的考核结果进行整改，整改期为一个月，整改合格后，则本合同自动有效至服务期限结束，如整改不合格，则本合同自整改期限届满之日起终止，甲方无需承担任何责任。</w:t>
      </w:r>
    </w:p>
    <w:p>
      <w:pPr>
        <w:keepNext w:val="0"/>
        <w:keepLines w:val="0"/>
        <w:pageBreakBefore w:val="0"/>
        <w:widowControl/>
        <w:numPr>
          <w:ilvl w:val="0"/>
          <w:numId w:val="4"/>
        </w:numPr>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日常维护保养方式</w:t>
      </w:r>
    </w:p>
    <w:p>
      <w:pPr>
        <w:keepNext w:val="0"/>
        <w:keepLines w:val="0"/>
        <w:pageBreakBefore w:val="0"/>
        <w:widowControl/>
        <w:numPr>
          <w:ilvl w:val="-1"/>
          <w:numId w:val="0"/>
        </w:numPr>
        <w:kinsoku w:val="0"/>
        <w:wordWrap/>
        <w:overflowPunct/>
        <w:topLinePunct w:val="0"/>
        <w:autoSpaceDE w:val="0"/>
        <w:autoSpaceDN w:val="0"/>
        <w:bidi w:val="0"/>
        <w:adjustRightInd w:val="0"/>
        <w:snapToGrid w:val="0"/>
        <w:spacing w:line="240" w:lineRule="auto"/>
        <w:ind w:firstLine="600" w:firstLineChars="200"/>
        <w:jc w:val="left"/>
        <w:textAlignment w:val="baseline"/>
        <w:rPr>
          <w:rFonts w:hint="eastAsia" w:ascii="仿宋" w:hAnsi="仿宋" w:eastAsia="仿宋" w:cs="仿宋"/>
          <w:b w:val="0"/>
          <w:bCs w:val="0"/>
          <w:snapToGrid w:val="0"/>
          <w:color w:val="auto"/>
          <w:kern w:val="0"/>
          <w:sz w:val="30"/>
          <w:szCs w:val="30"/>
          <w:lang w:val="en-US" w:eastAsia="zh-CN"/>
        </w:rPr>
      </w:pPr>
      <w:r>
        <w:rPr>
          <w:rFonts w:hint="eastAsia" w:ascii="仿宋" w:hAnsi="仿宋" w:eastAsia="仿宋" w:cs="仿宋"/>
          <w:b w:val="0"/>
          <w:bCs w:val="0"/>
          <w:snapToGrid w:val="0"/>
          <w:color w:val="auto"/>
          <w:kern w:val="0"/>
          <w:sz w:val="30"/>
          <w:szCs w:val="30"/>
          <w:lang w:val="en-US" w:eastAsia="zh-CN"/>
        </w:rPr>
        <w:t>半包</w:t>
      </w:r>
    </w:p>
    <w:p>
      <w:pPr>
        <w:keepNext w:val="0"/>
        <w:keepLines w:val="0"/>
        <w:pageBreakBefore w:val="0"/>
        <w:widowControl/>
        <w:numPr>
          <w:ilvl w:val="0"/>
          <w:numId w:val="4"/>
        </w:numPr>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u w:val="single"/>
          <w:lang w:val="en-US" w:eastAsia="zh-CN"/>
        </w:rPr>
      </w:pPr>
      <w:r>
        <w:rPr>
          <w:rFonts w:hint="eastAsia" w:ascii="仿宋" w:hAnsi="仿宋" w:eastAsia="仿宋" w:cs="仿宋"/>
          <w:b w:val="0"/>
          <w:bCs w:val="0"/>
          <w:snapToGrid w:val="0"/>
          <w:color w:val="auto"/>
          <w:kern w:val="0"/>
          <w:sz w:val="28"/>
          <w:szCs w:val="28"/>
          <w:lang w:val="en-US" w:eastAsia="zh-CN"/>
        </w:rPr>
        <w:t>乙方抢修服务热线电话:</w:t>
      </w:r>
      <w:r>
        <w:rPr>
          <w:rFonts w:hint="eastAsia" w:ascii="仿宋" w:hAnsi="仿宋" w:eastAsia="仿宋" w:cs="仿宋"/>
          <w:b w:val="0"/>
          <w:bCs w:val="0"/>
          <w:snapToGrid w:val="0"/>
          <w:color w:val="auto"/>
          <w:kern w:val="0"/>
          <w:sz w:val="28"/>
          <w:szCs w:val="28"/>
          <w:u w:val="single"/>
          <w:lang w:val="en-US" w:eastAsia="zh-CN"/>
        </w:rPr>
        <w:t xml:space="preserve">             </w:t>
      </w:r>
    </w:p>
    <w:p>
      <w:pPr>
        <w:keepNext w:val="0"/>
        <w:keepLines w:val="0"/>
        <w:pageBreakBefore w:val="0"/>
        <w:widowControl/>
        <w:numPr>
          <w:ilvl w:val="-1"/>
          <w:numId w:val="0"/>
        </w:numPr>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抢修服务时间(困人除外):困人30分钟到场，其他情况1小时到场</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val="0"/>
          <w:bCs w:val="0"/>
          <w:snapToGrid w:val="0"/>
          <w:color w:val="auto"/>
          <w:kern w:val="0"/>
          <w:sz w:val="28"/>
          <w:szCs w:val="28"/>
          <w:lang w:val="en-US" w:eastAsia="zh-CN"/>
        </w:rPr>
        <w:t>9、驻场:乙方(□是☑否)</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snapToGrid w:val="0"/>
          <w:color w:val="auto"/>
          <w:kern w:val="0"/>
          <w:sz w:val="28"/>
          <w:szCs w:val="28"/>
          <w:lang w:val="en-US" w:eastAsia="zh-CN"/>
        </w:rPr>
      </w:pPr>
      <w:r>
        <w:rPr>
          <w:rFonts w:hint="eastAsia" w:ascii="仿宋" w:hAnsi="仿宋" w:eastAsia="仿宋" w:cs="仿宋"/>
          <w:snapToGrid w:val="0"/>
          <w:color w:val="auto"/>
          <w:kern w:val="0"/>
          <w:sz w:val="28"/>
          <w:szCs w:val="28"/>
          <w:lang w:val="en-US" w:eastAsia="zh-CN"/>
        </w:rPr>
        <w:t>10、电梯每月2次维保检修，确保电梯使用正常，服务周期：12个月。</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snapToGrid w:val="0"/>
          <w:color w:val="auto"/>
          <w:kern w:val="0"/>
          <w:sz w:val="28"/>
          <w:szCs w:val="28"/>
          <w:lang w:eastAsia="zh-CN"/>
        </w:rPr>
      </w:pPr>
      <w:r>
        <w:rPr>
          <w:rFonts w:hint="eastAsia" w:ascii="仿宋" w:hAnsi="仿宋" w:eastAsia="仿宋" w:cs="仿宋"/>
          <w:snapToGrid w:val="0"/>
          <w:color w:val="auto"/>
          <w:kern w:val="0"/>
          <w:sz w:val="28"/>
          <w:szCs w:val="28"/>
          <w:lang w:val="en-US" w:eastAsia="zh-CN"/>
        </w:rPr>
        <w:t>本项目承包方式为半包</w:t>
      </w:r>
      <w:r>
        <w:rPr>
          <w:rFonts w:hint="eastAsia" w:ascii="仿宋" w:hAnsi="仿宋" w:eastAsia="仿宋" w:cs="仿宋"/>
          <w:snapToGrid w:val="0"/>
          <w:color w:val="auto"/>
          <w:kern w:val="0"/>
          <w:sz w:val="28"/>
          <w:szCs w:val="28"/>
          <w:lang w:eastAsia="en-US"/>
        </w:rPr>
        <w:t>单价≤500元(详见附件</w:t>
      </w:r>
      <w:r>
        <w:rPr>
          <w:rFonts w:hint="eastAsia" w:ascii="仿宋" w:hAnsi="仿宋" w:eastAsia="仿宋" w:cs="仿宋"/>
          <w:snapToGrid w:val="0"/>
          <w:color w:val="auto"/>
          <w:kern w:val="0"/>
          <w:sz w:val="28"/>
          <w:szCs w:val="28"/>
          <w:lang w:val="en-US" w:eastAsia="zh-CN"/>
        </w:rPr>
        <w:t>1</w:t>
      </w:r>
      <w:r>
        <w:rPr>
          <w:rFonts w:hint="eastAsia" w:ascii="仿宋" w:hAnsi="仿宋" w:eastAsia="仿宋" w:cs="仿宋"/>
          <w:snapToGrid w:val="0"/>
          <w:color w:val="auto"/>
          <w:kern w:val="0"/>
          <w:sz w:val="28"/>
          <w:szCs w:val="28"/>
          <w:lang w:eastAsia="en-US"/>
        </w:rPr>
        <w:t>，但不仅限于附件</w:t>
      </w:r>
      <w:r>
        <w:rPr>
          <w:rFonts w:hint="eastAsia" w:ascii="仿宋" w:hAnsi="仿宋" w:eastAsia="仿宋" w:cs="仿宋"/>
          <w:snapToGrid w:val="0"/>
          <w:color w:val="auto"/>
          <w:kern w:val="0"/>
          <w:sz w:val="28"/>
          <w:szCs w:val="28"/>
          <w:lang w:val="en-US" w:eastAsia="zh-CN"/>
        </w:rPr>
        <w:t>1</w:t>
      </w:r>
      <w:r>
        <w:rPr>
          <w:rFonts w:hint="eastAsia" w:ascii="仿宋" w:hAnsi="仿宋" w:eastAsia="仿宋" w:cs="仿宋"/>
          <w:snapToGrid w:val="0"/>
          <w:color w:val="auto"/>
          <w:kern w:val="0"/>
          <w:sz w:val="28"/>
          <w:szCs w:val="28"/>
          <w:lang w:eastAsia="en-US"/>
        </w:rPr>
        <w:t>所列配件)的所有易损设备及配件由乙方免费提供，并进行维修</w:t>
      </w:r>
      <w:r>
        <w:rPr>
          <w:rFonts w:hint="eastAsia" w:ascii="仿宋" w:hAnsi="仿宋" w:eastAsia="仿宋" w:cs="仿宋"/>
          <w:snapToGrid w:val="0"/>
          <w:color w:val="auto"/>
          <w:kern w:val="0"/>
          <w:sz w:val="28"/>
          <w:szCs w:val="28"/>
          <w:lang w:val="en-US" w:eastAsia="zh-CN"/>
        </w:rPr>
        <w:t>及</w:t>
      </w:r>
      <w:r>
        <w:rPr>
          <w:rFonts w:hint="eastAsia" w:ascii="仿宋" w:hAnsi="仿宋" w:eastAsia="仿宋" w:cs="仿宋"/>
          <w:snapToGrid w:val="0"/>
          <w:color w:val="auto"/>
          <w:kern w:val="0"/>
          <w:sz w:val="28"/>
          <w:szCs w:val="28"/>
          <w:lang w:eastAsia="en-US"/>
        </w:rPr>
        <w:t>更换</w:t>
      </w:r>
      <w:r>
        <w:rPr>
          <w:rFonts w:hint="eastAsia" w:ascii="仿宋" w:hAnsi="仿宋" w:eastAsia="仿宋" w:cs="仿宋"/>
          <w:snapToGrid w:val="0"/>
          <w:color w:val="auto"/>
          <w:kern w:val="0"/>
          <w:sz w:val="28"/>
          <w:szCs w:val="28"/>
          <w:lang w:val="en-US" w:eastAsia="zh-CN"/>
        </w:rPr>
        <w:t>；</w:t>
      </w:r>
      <w:r>
        <w:rPr>
          <w:rFonts w:hint="eastAsia" w:ascii="仿宋" w:hAnsi="仿宋" w:eastAsia="仿宋" w:cs="仿宋"/>
          <w:snapToGrid w:val="0"/>
          <w:color w:val="auto"/>
          <w:kern w:val="0"/>
          <w:sz w:val="28"/>
          <w:szCs w:val="28"/>
          <w:lang w:eastAsia="en-US"/>
        </w:rPr>
        <w:t>超过500元的由甲方承担</w:t>
      </w:r>
      <w:r>
        <w:rPr>
          <w:rFonts w:hint="eastAsia" w:ascii="仿宋" w:hAnsi="仿宋" w:eastAsia="仿宋" w:cs="仿宋"/>
          <w:snapToGrid w:val="0"/>
          <w:color w:val="auto"/>
          <w:kern w:val="0"/>
          <w:sz w:val="28"/>
          <w:szCs w:val="28"/>
          <w:lang w:eastAsia="zh-CN"/>
        </w:rPr>
        <w:t>。</w:t>
      </w:r>
    </w:p>
    <w:p>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Lines="50" w:afterLines="50" w:line="240" w:lineRule="auto"/>
        <w:jc w:val="left"/>
        <w:textAlignment w:val="baseline"/>
        <w:rPr>
          <w:rFonts w:hint="eastAsia" w:ascii="仿宋" w:hAnsi="仿宋" w:eastAsia="仿宋" w:cs="仿宋"/>
          <w:b/>
          <w:bCs/>
          <w:snapToGrid w:val="0"/>
          <w:color w:val="auto"/>
          <w:kern w:val="0"/>
          <w:sz w:val="32"/>
          <w:szCs w:val="32"/>
          <w:lang w:val="en-US" w:eastAsia="zh-CN"/>
        </w:rPr>
      </w:pPr>
      <w:r>
        <w:rPr>
          <w:rFonts w:hint="eastAsia" w:ascii="仿宋" w:hAnsi="仿宋" w:eastAsia="仿宋" w:cs="仿宋"/>
          <w:b/>
          <w:bCs/>
          <w:snapToGrid w:val="0"/>
          <w:color w:val="auto"/>
          <w:kern w:val="0"/>
          <w:sz w:val="32"/>
          <w:szCs w:val="32"/>
          <w:lang w:val="en-US" w:eastAsia="zh-CN"/>
        </w:rPr>
        <w:t>三、服务内容：</w:t>
      </w:r>
    </w:p>
    <w:p>
      <w:pPr>
        <w:widowControl/>
        <w:numPr>
          <w:ilvl w:val="0"/>
          <w:numId w:val="0"/>
        </w:numPr>
        <w:kinsoku w:val="0"/>
        <w:autoSpaceDE w:val="0"/>
        <w:autoSpaceDN w:val="0"/>
        <w:bidi w:val="0"/>
        <w:adjustRightInd w:val="0"/>
        <w:snapToGrid w:val="0"/>
        <w:spacing w:line="240" w:lineRule="auto"/>
        <w:ind w:firstLine="560" w:firstLineChars="200"/>
        <w:jc w:val="left"/>
        <w:textAlignment w:val="baseline"/>
        <w:rPr>
          <w:rFonts w:hint="eastAsia" w:ascii="仿宋" w:hAnsi="仿宋" w:eastAsia="仿宋" w:cs="仿宋"/>
          <w:b/>
          <w:snapToGrid w:val="0"/>
          <w:color w:val="auto"/>
          <w:kern w:val="0"/>
          <w:sz w:val="28"/>
          <w:szCs w:val="28"/>
          <w:lang w:eastAsia="en-US"/>
        </w:rPr>
      </w:pPr>
      <w:r>
        <w:rPr>
          <w:rFonts w:hint="eastAsia" w:ascii="仿宋" w:hAnsi="仿宋" w:eastAsia="仿宋" w:cs="仿宋"/>
          <w:snapToGrid w:val="0"/>
          <w:color w:val="auto"/>
          <w:kern w:val="0"/>
          <w:sz w:val="28"/>
          <w:szCs w:val="28"/>
          <w:lang w:val="en-US" w:eastAsia="zh-CN"/>
        </w:rPr>
        <w:t>服务方应当按照《电梯使用管理与维护保养规则》（TSGT5002-2017）（法律规定、政府相关政策、规章制度等规定有最新规定的，按照最新规定执行）的规定完成半月、季度、半年、年度的维保项目，并做好维护保养记录。半月、季度、半年度、年度维护保养内容及要求如下</w:t>
      </w: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r>
        <w:rPr>
          <w:rFonts w:hint="eastAsia" w:ascii="仿宋" w:hAnsi="仿宋" w:eastAsia="仿宋" w:cs="仿宋"/>
          <w:b/>
          <w:snapToGrid w:val="0"/>
          <w:color w:val="auto"/>
          <w:kern w:val="0"/>
          <w:sz w:val="28"/>
          <w:szCs w:val="22"/>
          <w:lang w:eastAsia="en-US"/>
        </w:rPr>
        <w:t>半月维护保养项目（内容）和要求</w:t>
      </w:r>
    </w:p>
    <w:tbl>
      <w:tblPr>
        <w:tblStyle w:val="14"/>
        <w:tblW w:w="105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4073"/>
        <w:gridCol w:w="4416"/>
        <w:gridCol w:w="1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序号</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维护保养项目（内容）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维护保养基本要求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机房、滑轮间环境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清洁，门窗完好，照明正常</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手动紧急操作装置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齐全，在指定位置</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曳引机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运行时无异常振动和异常声响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动作灵活</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制动器间隙</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打开时制动衬与制动轮不应发生摩擦 ，间隙值符合制造单位要求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制动器作为轿厢意外移动保护装置制停子系统时的自监测</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制动力人工方式检测符合使用说明书要求；制动力自监测系统有记录</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编码器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清洁，安装牢固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润滑，转动灵活；电气开关正常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层门和轿门旁路装置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紧急电动运行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清洁，防护栏安全可靠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导靴上油杯</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吸油毛毡齐全，油量适宜，油杯无泄漏</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对重/平衡重块及其压板</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对重/平衡重块无松动，压板紧固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井道照明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轿厢照明、风扇、应急照明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轿内报警装置、对讲系统</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6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 xml:space="preserve">轿内显示、指令按钮 </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轿门防撞击保护装置（安全触板，光幕、光电等）</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功能有效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开启和关闭工作正常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轿厢平层准确度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符合标准值</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层站召唤、层楼显示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层门地坎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层门自动关门装置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层门门锁自动复位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用层门钥匙打开手动开锁装置释放后，层门门锁能自动复位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层门锁紧元件啮合长度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不小于 7mm</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底坑环境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清洁，无渗水、积水，照明正常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en-US"/>
              </w:rPr>
            </w:pPr>
            <w:r>
              <w:rPr>
                <w:rFonts w:hint="eastAsia" w:ascii="仿宋" w:hAnsi="仿宋" w:eastAsia="仿宋" w:cs="仿宋"/>
                <w:i w:val="0"/>
                <w:iCs w:val="0"/>
                <w:snapToGrid w:val="0"/>
                <w:color w:val="auto"/>
                <w:kern w:val="0"/>
                <w:sz w:val="21"/>
                <w:szCs w:val="21"/>
                <w:u w:val="none"/>
                <w:lang w:val="en-US" w:eastAsia="zh-CN" w:bidi="ar"/>
              </w:rPr>
              <w:t>底坑急停开关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bl>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r>
        <w:rPr>
          <w:rFonts w:hint="eastAsia" w:ascii="仿宋" w:hAnsi="仿宋" w:eastAsia="仿宋" w:cs="仿宋"/>
          <w:b/>
          <w:snapToGrid w:val="0"/>
          <w:color w:val="auto"/>
          <w:kern w:val="0"/>
          <w:sz w:val="28"/>
          <w:szCs w:val="22"/>
          <w:lang w:eastAsia="en-US"/>
        </w:rPr>
        <w:t>季度维护保养项目（内容）和要求</w:t>
      </w: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p>
    <w:tbl>
      <w:tblPr>
        <w:tblStyle w:val="14"/>
        <w:tblW w:w="105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4073"/>
        <w:gridCol w:w="4416"/>
        <w:gridCol w:w="1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序号</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维护保养项目（内容）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维护保养基本要求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机房、滑轮间环境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清洁，门窗完好，照明正常</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手动紧急操作装置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齐全，在指定位置</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驱动主机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运行时无异常振动和异常声响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动作灵活</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制动器间隙</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打开时制动衬与制动轮不应发生摩擦 ，间隙值符合制造单位要求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制动器作为轿厢意外移动保护装置制停子系统时的自监测</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制动力人工方式检测符合使用说明书要求；制动力自监测系统有记录</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编码器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清洁，安装牢固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润滑，转动灵活；电气开关正常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层门和轿门旁路装置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紧急电动运行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清洁，防护栏安全可靠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导靴上油杯</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吸油毛毡齐全，油量适宜，油杯无泄漏</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对重/平衡重块及其压板</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对重/平衡重块无松动，压板紧固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井道照明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轿厢照明、风扇、应急照明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轿内报警装置、对讲系统</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轿内显示、指令按钮 、IC卡系统</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轿门防撞击保护装置（安全触板，光幕、光电等）</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功能有效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开启和关闭工作正常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轿厢平层准确度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符合标准值</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层站召唤、层楼显示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层门地坎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层门自动关门装置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层门门锁自动复位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用层门钥匙打开手动开锁装置释放后，层门门锁能自动复位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层门锁紧元件啮合长度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不小于 7mm</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底坑环境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清洁，无渗水、积水，照明正常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底坑停止装置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减速机润滑油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油量适宜，除蜗杆伸出端外均无渗漏</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 xml:space="preserve">制动衬   </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位置脉冲发生器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编码器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选层器动静触点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清洁，无烧蚀</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0" w:hRule="atLeast"/>
        </w:trPr>
        <w:tc>
          <w:tcPr>
            <w:tcW w:w="57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36</w:t>
            </w:r>
          </w:p>
        </w:tc>
        <w:tc>
          <w:tcPr>
            <w:tcW w:w="407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曳引轮槽、悬挂装置</w:t>
            </w:r>
          </w:p>
        </w:tc>
        <w:tc>
          <w:tcPr>
            <w:tcW w:w="44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清洁，钢丝绳无严重油腻，张力均匀，符合制造单位要求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限速器轮槽、限速器钢丝绳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清洁，无严重油腻</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靴衬、滚轮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验证轿门关闭的电气安全装置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层门、轿门系统中传动钢丝绳、链条、传动带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按照制造单位要求进行清洁、调整</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层门门导靴</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消防开关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工作正常，功能有效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耗能缓冲器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电气安全装置功能有效，油量适宜，柱塞无锈蚀</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限速器张紧轮装置和电气安全装置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bl>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r>
        <w:rPr>
          <w:rFonts w:hint="eastAsia" w:ascii="仿宋" w:hAnsi="仿宋" w:eastAsia="仿宋" w:cs="仿宋"/>
          <w:b/>
          <w:snapToGrid w:val="0"/>
          <w:color w:val="auto"/>
          <w:kern w:val="0"/>
          <w:sz w:val="28"/>
          <w:szCs w:val="22"/>
          <w:lang w:val="en-US" w:eastAsia="zh-CN"/>
        </w:rPr>
        <w:t>半年</w:t>
      </w:r>
      <w:r>
        <w:rPr>
          <w:rFonts w:hint="eastAsia" w:ascii="仿宋" w:hAnsi="仿宋" w:eastAsia="仿宋" w:cs="仿宋"/>
          <w:b/>
          <w:snapToGrid w:val="0"/>
          <w:color w:val="auto"/>
          <w:kern w:val="0"/>
          <w:sz w:val="28"/>
          <w:szCs w:val="22"/>
          <w:lang w:eastAsia="en-US"/>
        </w:rPr>
        <w:t>度维护保养项目（内容）和要求</w:t>
      </w:r>
    </w:p>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p>
    <w:tbl>
      <w:tblPr>
        <w:tblStyle w:val="14"/>
        <w:tblW w:w="105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4073"/>
        <w:gridCol w:w="4416"/>
        <w:gridCol w:w="1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序号</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维护保养项目（内容）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维护保养基本要求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机房、滑轮间环境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清洁，门窗完好，照明正常</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手动紧急操作装置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齐全，在指定位置</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驱动主机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运行时无异常振动和异常声响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动作灵活</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制动器间隙</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打开时制动衬与制动轮不应发生摩擦 ，间隙值符合制造单位要求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制动器作为轿厢意外移动保护装置制停子系统时的自监测</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制动力人工方式检测符合使用说明书要求；制动力自监测系统有记录</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编码器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清洁，安装牢固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润滑，转动灵活；电气开关正常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层门和轿门旁路装置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紧急电动运行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清洁，防护栏安全可靠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导靴上油杯</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吸油毛毡齐全，油量适宜，油杯无泄漏</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对重/平衡重块及其压板</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对重/平衡重块无松动，压板紧固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井道照明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轿厢照明、风扇、应急照明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轿内报警装置、对讲系统</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轿内显示、指令按钮 、IC卡系统</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轿门防撞击保护装置（安全触板，光幕、光电等）</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功能有效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开启和关闭工作正常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轿厢平层准确度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符合标准值</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层站召唤、层楼显示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层门地坎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层门自动关门装置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层门门锁自动复位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用层门钥匙打开手动开锁装置释放后，层门门锁能自动复位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层门锁紧元件啮合长度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不小于 7mm</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底坑环境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清洁，无渗水、积水，照明正常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底坑停止装置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减速机润滑油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油量适宜，除蜗杆伸出端外均无渗漏</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 xml:space="preserve">制动衬   </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34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位置脉冲发生器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编码器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选层器动静触点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清洁，无烧蚀</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0" w:hRule="atLeast"/>
        </w:trPr>
        <w:tc>
          <w:tcPr>
            <w:tcW w:w="57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37</w:t>
            </w:r>
          </w:p>
        </w:tc>
        <w:tc>
          <w:tcPr>
            <w:tcW w:w="407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曳引轮槽、悬挂装置</w:t>
            </w:r>
          </w:p>
        </w:tc>
        <w:tc>
          <w:tcPr>
            <w:tcW w:w="44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清洁，钢丝绳无严重油腻，张力均匀，符合制造单位要求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限速器轮槽、限速器钢丝绳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清洁，无严重油腻</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靴衬、滚轮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rPr>
            </w:pPr>
            <w:r>
              <w:rPr>
                <w:rFonts w:hint="eastAsia" w:ascii="仿宋" w:hAnsi="仿宋" w:eastAsia="仿宋" w:cs="仿宋"/>
                <w:i w:val="0"/>
                <w:iCs w:val="0"/>
                <w:snapToGrid w:val="0"/>
                <w:color w:val="auto"/>
                <w:kern w:val="0"/>
                <w:sz w:val="21"/>
                <w:szCs w:val="21"/>
                <w:u w:val="none"/>
                <w:lang w:val="en-US" w:eastAsia="zh-CN"/>
              </w:rPr>
              <w:t>40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验证轿门关闭的电气安全装置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层门、轿门系统中传动钢丝绳、链条、传动带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按照制造单位要求进行清洁、调整</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层门门导靴</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消防开关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工作正常，功能有效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en-US"/>
              </w:rPr>
            </w:pPr>
            <w:r>
              <w:rPr>
                <w:rFonts w:hint="eastAsia" w:ascii="仿宋" w:hAnsi="仿宋" w:eastAsia="仿宋" w:cs="仿宋"/>
                <w:i w:val="0"/>
                <w:iCs w:val="0"/>
                <w:snapToGrid w:val="0"/>
                <w:color w:val="auto"/>
                <w:kern w:val="0"/>
                <w:sz w:val="21"/>
                <w:szCs w:val="21"/>
                <w:u w:val="none"/>
                <w:lang w:val="en-US" w:eastAsia="zh-CN" w:bidi="ar"/>
              </w:rPr>
              <w:t>44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耗能缓冲器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电气安全装置功能有效，油量适宜，柱塞无锈蚀</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限速器张紧轮装置和电气安全装置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电动机与减速机联轴器螺栓</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无松动</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曳引轮、导向轮轴承部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无异常声，无振动，润滑良好</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曳引轮槽</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磨损量不超过制造单位要求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制动器上检测开关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工作正常，制动器动作可靠</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控制柜内各接线端子</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各接线紧固、整齐，线号齐全清晰</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控制柜各仪表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显示正确</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井道、对重、轿顶各反绳轮轴承部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无异常声，无振动，润滑良好</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曳引绳、补偿绳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磨损量、断丝数不超过要求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曳引绳绳头组合</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螺母无松动</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限速器钢丝绳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磨损量、断丝数不超过制造单位要求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层门、轿门门扇</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门扇各相关间隙符合标准</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对重缓冲距</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符合标准</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补偿链(绳)与轿厢、对重接合处</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固定、无松动</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上下极限开关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bl>
    <w:p>
      <w:pPr>
        <w:widowControl/>
        <w:kinsoku w:val="0"/>
        <w:autoSpaceDE w:val="0"/>
        <w:autoSpaceDN w:val="0"/>
        <w:bidi w:val="0"/>
        <w:adjustRightInd w:val="0"/>
        <w:snapToGrid w:val="0"/>
        <w:spacing w:line="240" w:lineRule="auto"/>
        <w:jc w:val="center"/>
        <w:textAlignment w:val="baseline"/>
        <w:rPr>
          <w:rFonts w:hint="eastAsia" w:ascii="仿宋" w:hAnsi="仿宋" w:eastAsia="仿宋" w:cs="仿宋"/>
          <w:b/>
          <w:snapToGrid w:val="0"/>
          <w:color w:val="auto"/>
          <w:kern w:val="0"/>
          <w:sz w:val="28"/>
          <w:szCs w:val="22"/>
          <w:lang w:eastAsia="en-US"/>
        </w:rPr>
      </w:pPr>
    </w:p>
    <w:p>
      <w:pPr>
        <w:widowControl/>
        <w:kinsoku w:val="0"/>
        <w:autoSpaceDE w:val="0"/>
        <w:autoSpaceDN w:val="0"/>
        <w:bidi w:val="0"/>
        <w:adjustRightInd w:val="0"/>
        <w:snapToGrid w:val="0"/>
        <w:spacing w:line="240" w:lineRule="auto"/>
        <w:ind w:firstLine="3373" w:firstLineChars="1200"/>
        <w:jc w:val="both"/>
        <w:textAlignment w:val="baseline"/>
        <w:rPr>
          <w:rFonts w:hint="eastAsia" w:ascii="仿宋" w:hAnsi="仿宋" w:eastAsia="仿宋" w:cs="仿宋"/>
          <w:b/>
          <w:snapToGrid w:val="0"/>
          <w:color w:val="auto"/>
          <w:kern w:val="0"/>
          <w:sz w:val="28"/>
          <w:szCs w:val="22"/>
          <w:lang w:val="en-US" w:eastAsia="zh-CN"/>
        </w:rPr>
      </w:pPr>
      <w:r>
        <w:rPr>
          <w:rFonts w:hint="eastAsia" w:ascii="仿宋" w:hAnsi="仿宋" w:eastAsia="仿宋" w:cs="仿宋"/>
          <w:b/>
          <w:snapToGrid w:val="0"/>
          <w:color w:val="auto"/>
          <w:kern w:val="0"/>
          <w:sz w:val="28"/>
          <w:szCs w:val="22"/>
          <w:lang w:val="en-US" w:eastAsia="zh-CN"/>
        </w:rPr>
        <w:t xml:space="preserve"> </w:t>
      </w:r>
    </w:p>
    <w:p>
      <w:pPr>
        <w:widowControl/>
        <w:kinsoku w:val="0"/>
        <w:autoSpaceDE w:val="0"/>
        <w:autoSpaceDN w:val="0"/>
        <w:bidi w:val="0"/>
        <w:adjustRightInd w:val="0"/>
        <w:snapToGrid w:val="0"/>
        <w:spacing w:line="240" w:lineRule="auto"/>
        <w:ind w:firstLine="3373" w:firstLineChars="1200"/>
        <w:jc w:val="both"/>
        <w:textAlignment w:val="baseline"/>
        <w:rPr>
          <w:rFonts w:hint="eastAsia" w:ascii="仿宋" w:hAnsi="仿宋" w:eastAsia="仿宋" w:cs="仿宋"/>
          <w:b/>
          <w:snapToGrid w:val="0"/>
          <w:color w:val="auto"/>
          <w:kern w:val="0"/>
          <w:sz w:val="28"/>
          <w:szCs w:val="22"/>
          <w:lang w:eastAsia="en-US"/>
        </w:rPr>
      </w:pPr>
      <w:r>
        <w:rPr>
          <w:rFonts w:hint="eastAsia" w:ascii="仿宋" w:hAnsi="仿宋" w:eastAsia="仿宋" w:cs="仿宋"/>
          <w:b/>
          <w:snapToGrid w:val="0"/>
          <w:color w:val="auto"/>
          <w:kern w:val="0"/>
          <w:sz w:val="28"/>
          <w:szCs w:val="22"/>
          <w:lang w:eastAsia="en-US"/>
        </w:rPr>
        <w:t>年度维护保养项目（内容）和要求</w:t>
      </w:r>
    </w:p>
    <w:tbl>
      <w:tblPr>
        <w:tblStyle w:val="14"/>
        <w:tblW w:w="105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4073"/>
        <w:gridCol w:w="4416"/>
        <w:gridCol w:w="1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序号</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维护保养项目（内容）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维护保养基本要求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机房、滑轮间环境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清洁，门窗完好，照明正常</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手动紧急操作装置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齐全，在指定位置</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驱动主机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运行时无异常振动和异常声响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动作灵活</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制动器间隙</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打开时制动衬与制动轮不应发生摩擦 ，间隙值符合制造单位要求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2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制动器作为轿厢意外移动保护装置制停子系统时的自监测</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制动力人工方式检测符合使用说明书要求；制动力自监测系统有记录</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编码器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清洁，安装牢固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限速器各销轴部位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润滑，转动灵活；电气开关正常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层门和轿门旁路装置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紧急电动运行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清洁，防护栏安全可靠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导靴上油杯</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吸油毛毡齐全，油量适宜，油杯无泄漏</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对重/平衡重块及其压板</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对重/平衡重块无松动，压板紧固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井道照明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轿厢照明、风扇、应急照明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轿厢检修开关、停止装置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轿内报警装置、对讲系统</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19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轿内显示、指令按钮 、IC卡系统</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轿门防撞击保护装置（安全触板，光幕、光电等）</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功能有效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轿门运行</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开启和关闭工作正常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轿厢平层准确度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符合标准值</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层站召唤、层楼显示</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齐全、有效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层门地坎</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层门自动关门装置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层门门锁自动复位</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用层门钥匙打开手动开锁装置释放后，层门门锁能自动复位</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层门门锁电气触点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清洁，触点接触良好，接线可靠</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29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层门锁紧元件啮合长度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不小于 7mm</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底坑环境</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清洁，无渗水、积水，照明正常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底坑停止装置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减速机润滑油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油量适宜，除蜗杆伸出端外均无渗漏</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 xml:space="preserve">制动衬   </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34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位置脉冲发生器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编码器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选层器动静触点</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清洁，无烧蚀</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0" w:hRule="atLeast"/>
        </w:trPr>
        <w:tc>
          <w:tcPr>
            <w:tcW w:w="57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37</w:t>
            </w:r>
          </w:p>
        </w:tc>
        <w:tc>
          <w:tcPr>
            <w:tcW w:w="407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曳引轮槽、悬挂装置</w:t>
            </w:r>
          </w:p>
        </w:tc>
        <w:tc>
          <w:tcPr>
            <w:tcW w:w="44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清洁，钢丝绳无严重油腻，张力均匀，符合制造单位要求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限速器轮槽、限速器钢丝绳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清洁，无严重油腻</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39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靴衬、滚轮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rPr>
            </w:pPr>
            <w:r>
              <w:rPr>
                <w:rFonts w:hint="eastAsia" w:ascii="仿宋" w:hAnsi="仿宋" w:eastAsia="仿宋" w:cs="仿宋"/>
                <w:i w:val="0"/>
                <w:iCs w:val="0"/>
                <w:snapToGrid w:val="0"/>
                <w:color w:val="auto"/>
                <w:kern w:val="0"/>
                <w:sz w:val="21"/>
                <w:szCs w:val="21"/>
                <w:u w:val="none"/>
                <w:lang w:val="en-US" w:eastAsia="zh-CN"/>
              </w:rPr>
              <w:t>40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验证轿门关闭的电气安全装置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层门、轿门系统中传动钢丝绳、链条、传动带</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按照制造单位要求进行清洁、调整</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层门门导靴</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消防开关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工作正常，功能有效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en-US"/>
              </w:rPr>
            </w:pPr>
            <w:r>
              <w:rPr>
                <w:rFonts w:hint="eastAsia" w:ascii="仿宋" w:hAnsi="仿宋" w:eastAsia="仿宋" w:cs="仿宋"/>
                <w:i w:val="0"/>
                <w:iCs w:val="0"/>
                <w:snapToGrid w:val="0"/>
                <w:color w:val="auto"/>
                <w:kern w:val="0"/>
                <w:sz w:val="21"/>
                <w:szCs w:val="21"/>
                <w:u w:val="none"/>
                <w:lang w:val="en-US" w:eastAsia="zh-CN" w:bidi="ar"/>
              </w:rPr>
              <w:t>44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耗能缓冲器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电气安全装置功能有效，油量适宜，柱塞无锈蚀</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45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限速器张紧轮装置和电气安全装置</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电动机与减速机联轴器螺栓</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无松动</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曳引轮、导向轮轴承部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无异常声，无振动，润滑良好</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曳引轮槽</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磨损量不超过制造单位要求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49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制动器上检测开关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工作正常，制动器动作可靠</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50</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控制柜内各接线端子</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各接线紧固、整齐，线号齐全清晰</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51</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控制柜各仪表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显示正确</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52</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井道、对重、轿顶各反绳轮轴承部</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无异常声，无振动，润滑良好</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53</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曳引绳、补偿绳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磨损量、断丝数不超过要求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54</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曳引绳绳头组合</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螺母无松动</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55</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限速器钢丝绳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磨损量、断丝数不超过制造单位要求</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56</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层门、轿门门扇</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门扇各相关间隙符合标准</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57</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对重缓冲距</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符合标准</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58</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补偿链(绳)与轿厢、对重接合处</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固定、无松动</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59</w:t>
            </w:r>
          </w:p>
        </w:tc>
        <w:tc>
          <w:tcPr>
            <w:tcW w:w="4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上下极限开关</w:t>
            </w:r>
          </w:p>
        </w:tc>
        <w:tc>
          <w:tcPr>
            <w:tcW w:w="4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bl>
    <w:p>
      <w:pPr>
        <w:widowControl/>
        <w:kinsoku w:val="0"/>
        <w:autoSpaceDE w:val="0"/>
        <w:autoSpaceDN w:val="0"/>
        <w:bidi w:val="0"/>
        <w:adjustRightInd w:val="0"/>
        <w:snapToGrid w:val="0"/>
        <w:spacing w:line="240" w:lineRule="auto"/>
        <w:jc w:val="both"/>
        <w:textAlignment w:val="baseline"/>
        <w:rPr>
          <w:rFonts w:hint="eastAsia" w:ascii="仿宋" w:hAnsi="仿宋" w:eastAsia="仿宋" w:cs="仿宋"/>
          <w:b/>
          <w:snapToGrid w:val="0"/>
          <w:color w:val="auto"/>
          <w:kern w:val="0"/>
          <w:sz w:val="28"/>
          <w:szCs w:val="22"/>
          <w:lang w:eastAsia="en-US"/>
        </w:rPr>
      </w:pPr>
    </w:p>
    <w:tbl>
      <w:tblPr>
        <w:tblStyle w:val="14"/>
        <w:tblW w:w="105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4072"/>
        <w:gridCol w:w="4417"/>
        <w:gridCol w:w="1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60</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减速机润滑油</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油量适宜，除蜗杆伸出端外均无渗漏</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en-US"/>
              </w:rPr>
            </w:pPr>
            <w:r>
              <w:rPr>
                <w:rFonts w:hint="eastAsia" w:ascii="仿宋" w:hAnsi="仿宋" w:eastAsia="仿宋" w:cs="仿宋"/>
                <w:i w:val="0"/>
                <w:iCs w:val="0"/>
                <w:snapToGrid w:val="0"/>
                <w:color w:val="auto"/>
                <w:kern w:val="0"/>
                <w:sz w:val="21"/>
                <w:szCs w:val="21"/>
                <w:u w:val="none"/>
                <w:lang w:val="en-US" w:eastAsia="zh-CN" w:bidi="ar"/>
              </w:rPr>
              <w:t>61</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 xml:space="preserve">制动器制动弹簧压缩量  </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符合制造单位要求，保持有足够的制动力</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62</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控制柜接触器，继电器触点</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接触良好</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63</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制动器铁芯（柱塞）</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进行清洁、润滑、检查，磨损量不超过制造单位要求</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64</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导电回路绝缘性能测试</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符合标准</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8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65</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限速器安全钳联动试验（对于使用年限不超过15年的限速器，每2年进行一次限速器动作速度校验；对于使用年限超过15年的限速器，每年进行一次限速器动作速度校验）</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66</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上行超速保护装置动作试验</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工作正常</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67</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轿顶、轿厢架、轿门及其附件安装螺栓</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紧固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68</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轿厢和对重/平衡重的导轨支架</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固定，无松动</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69</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轿厢和对重/平衡重的导轨</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清洁，压板牢固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70</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随行电缆</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无损伤</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71</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层门装置和地坎</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无影响正常使用的变形，各安装螺栓紧固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72</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轿厢称重装置</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准确有效</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73</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安全钳钳座</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固定，无松动</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74</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轿底各安装螺栓</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紧固</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75</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缓冲器</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eastAsia="en-US"/>
              </w:rPr>
            </w:pPr>
            <w:r>
              <w:rPr>
                <w:rFonts w:hint="eastAsia" w:ascii="仿宋" w:hAnsi="仿宋" w:eastAsia="仿宋" w:cs="仿宋"/>
                <w:i w:val="0"/>
                <w:iCs w:val="0"/>
                <w:snapToGrid w:val="0"/>
                <w:color w:val="auto"/>
                <w:kern w:val="0"/>
                <w:sz w:val="21"/>
                <w:szCs w:val="21"/>
                <w:u w:val="none"/>
                <w:lang w:val="en-US" w:eastAsia="zh-CN" w:bidi="ar"/>
              </w:rPr>
              <w:t>固定，无松动</w:t>
            </w: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76</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限速器</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链条加油及各触点螺丝收紧</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77</w:t>
            </w:r>
          </w:p>
        </w:tc>
        <w:tc>
          <w:tcPr>
            <w:tcW w:w="40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选层器钢带</w:t>
            </w:r>
          </w:p>
        </w:tc>
        <w:tc>
          <w:tcPr>
            <w:tcW w:w="4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kinsoku w:val="0"/>
              <w:autoSpaceDE w:val="0"/>
              <w:autoSpaceDN w:val="0"/>
              <w:adjustRightInd w:val="0"/>
              <w:snapToGrid w:val="0"/>
              <w:spacing w:line="240" w:lineRule="auto"/>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清洁、加油、张力检查和调整</w:t>
            </w:r>
          </w:p>
        </w:tc>
        <w:tc>
          <w:tcPr>
            <w:tcW w:w="14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val="0"/>
              <w:autoSpaceDE w:val="0"/>
              <w:autoSpaceDN w:val="0"/>
              <w:adjustRightInd w:val="0"/>
              <w:snapToGrid w:val="0"/>
              <w:spacing w:line="240" w:lineRule="auto"/>
              <w:jc w:val="center"/>
              <w:textAlignment w:val="baseline"/>
              <w:rPr>
                <w:rFonts w:hint="eastAsia" w:ascii="仿宋" w:hAnsi="仿宋" w:eastAsia="仿宋" w:cs="仿宋"/>
                <w:i w:val="0"/>
                <w:iCs w:val="0"/>
                <w:snapToGrid w:val="0"/>
                <w:color w:val="auto"/>
                <w:kern w:val="0"/>
                <w:sz w:val="21"/>
                <w:szCs w:val="21"/>
                <w:u w:val="none"/>
                <w:lang w:eastAsia="en-US"/>
              </w:rPr>
            </w:pPr>
          </w:p>
        </w:tc>
      </w:tr>
    </w:tbl>
    <w:p>
      <w:pPr>
        <w:rPr>
          <w:rFonts w:hint="eastAsia" w:ascii="仿宋" w:hAnsi="仿宋" w:eastAsia="仿宋" w:cs="仿宋"/>
          <w:color w:val="auto"/>
          <w:sz w:val="22"/>
          <w:szCs w:val="22"/>
        </w:rPr>
        <w:sectPr>
          <w:pgSz w:w="11906" w:h="16839"/>
          <w:pgMar w:top="1011" w:right="661" w:bottom="0" w:left="945" w:header="0" w:footer="0" w:gutter="0"/>
          <w:pgNumType w:fmt="decimal"/>
          <w:cols w:space="720" w:num="1"/>
        </w:sectPr>
      </w:pPr>
    </w:p>
    <w:p>
      <w:pPr>
        <w:widowControl/>
        <w:kinsoku w:val="0"/>
        <w:autoSpaceDE w:val="0"/>
        <w:autoSpaceDN w:val="0"/>
        <w:adjustRightInd w:val="0"/>
        <w:snapToGrid w:val="0"/>
        <w:spacing w:line="360" w:lineRule="auto"/>
        <w:jc w:val="both"/>
        <w:textAlignment w:val="baseline"/>
        <w:rPr>
          <w:rFonts w:hint="eastAsia" w:ascii="仿宋" w:hAnsi="仿宋" w:eastAsia="仿宋" w:cs="仿宋"/>
          <w:b/>
          <w:bCs/>
          <w:snapToGrid w:val="0"/>
          <w:color w:val="auto"/>
          <w:kern w:val="0"/>
          <w:sz w:val="28"/>
          <w:szCs w:val="28"/>
          <w:lang w:eastAsia="en-US"/>
        </w:rPr>
      </w:pPr>
      <w:r>
        <w:rPr>
          <w:rFonts w:hint="eastAsia" w:ascii="仿宋" w:hAnsi="仿宋" w:eastAsia="仿宋" w:cs="仿宋"/>
          <w:b/>
          <w:bCs/>
          <w:snapToGrid w:val="0"/>
          <w:color w:val="auto"/>
          <w:kern w:val="0"/>
          <w:sz w:val="28"/>
          <w:szCs w:val="28"/>
          <w:u w:val="none"/>
          <w:lang w:val="en-US" w:eastAsia="zh-CN" w:bidi="ar"/>
        </w:rPr>
        <w:t>附件1：维保500元及以下易耗件清单</w:t>
      </w:r>
    </w:p>
    <w:tbl>
      <w:tblPr>
        <w:tblStyle w:val="14"/>
        <w:tblW w:w="935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53"/>
        <w:gridCol w:w="3214"/>
        <w:gridCol w:w="3100"/>
        <w:gridCol w:w="25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tblHeader/>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b/>
                <w:bCs/>
                <w:i w:val="0"/>
                <w:snapToGrid w:val="0"/>
                <w:color w:val="auto"/>
                <w:kern w:val="0"/>
                <w:sz w:val="21"/>
                <w:szCs w:val="21"/>
                <w:u w:val="none"/>
                <w:lang w:eastAsia="en-US"/>
              </w:rPr>
            </w:pPr>
            <w:r>
              <w:rPr>
                <w:rFonts w:hint="eastAsia" w:ascii="仿宋" w:hAnsi="仿宋" w:eastAsia="仿宋" w:cs="仿宋"/>
                <w:b/>
                <w:bCs/>
                <w:snapToGrid w:val="0"/>
                <w:color w:val="auto"/>
                <w:kern w:val="0"/>
                <w:sz w:val="22"/>
                <w:szCs w:val="22"/>
                <w:u w:val="none"/>
                <w:lang w:val="en-US" w:eastAsia="zh-CN" w:bidi="ar"/>
              </w:rPr>
              <w:t>序号</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b/>
                <w:bCs/>
                <w:i w:val="0"/>
                <w:snapToGrid w:val="0"/>
                <w:color w:val="auto"/>
                <w:kern w:val="0"/>
                <w:sz w:val="21"/>
                <w:szCs w:val="21"/>
                <w:u w:val="none"/>
                <w:lang w:eastAsia="en-US"/>
              </w:rPr>
            </w:pPr>
            <w:r>
              <w:rPr>
                <w:rFonts w:hint="eastAsia" w:ascii="仿宋" w:hAnsi="仿宋" w:eastAsia="仿宋" w:cs="仿宋"/>
                <w:b/>
                <w:bCs/>
                <w:snapToGrid w:val="0"/>
                <w:color w:val="auto"/>
                <w:kern w:val="0"/>
                <w:sz w:val="22"/>
                <w:szCs w:val="22"/>
                <w:u w:val="none"/>
                <w:lang w:val="en-US" w:eastAsia="zh-CN" w:bidi="ar"/>
              </w:rPr>
              <w:t>项目产品名称</w:t>
            </w:r>
          </w:p>
        </w:tc>
        <w:tc>
          <w:tcPr>
            <w:tcW w:w="3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b/>
                <w:bCs/>
                <w:i w:val="0"/>
                <w:snapToGrid w:val="0"/>
                <w:color w:val="auto"/>
                <w:kern w:val="0"/>
                <w:sz w:val="21"/>
                <w:szCs w:val="21"/>
                <w:u w:val="none"/>
                <w:lang w:eastAsia="en-US"/>
              </w:rPr>
            </w:pPr>
            <w:r>
              <w:rPr>
                <w:rFonts w:hint="eastAsia" w:ascii="仿宋" w:hAnsi="仿宋" w:eastAsia="仿宋" w:cs="仿宋"/>
                <w:b/>
                <w:bCs/>
                <w:snapToGrid w:val="0"/>
                <w:color w:val="auto"/>
                <w:kern w:val="0"/>
                <w:sz w:val="22"/>
                <w:szCs w:val="22"/>
                <w:u w:val="none"/>
                <w:lang w:val="en-US" w:eastAsia="zh-CN" w:bidi="ar"/>
              </w:rPr>
              <w:t>规格型号</w:t>
            </w:r>
            <w:r>
              <w:rPr>
                <w:rFonts w:hint="eastAsia" w:ascii="仿宋" w:hAnsi="仿宋" w:eastAsia="仿宋" w:cs="仿宋"/>
                <w:b/>
                <w:bCs/>
                <w:snapToGrid w:val="0"/>
                <w:color w:val="auto"/>
                <w:kern w:val="0"/>
                <w:sz w:val="21"/>
                <w:szCs w:val="21"/>
                <w:u w:val="none"/>
                <w:lang w:val="en-US" w:eastAsia="zh-CN" w:bidi="ar"/>
              </w:rPr>
              <w:t xml:space="preserve"> </w:t>
            </w:r>
            <w:r>
              <w:rPr>
                <w:rFonts w:hint="eastAsia" w:ascii="仿宋" w:hAnsi="仿宋" w:eastAsia="仿宋" w:cs="仿宋"/>
                <w:b/>
                <w:bCs/>
                <w:snapToGrid w:val="0"/>
                <w:color w:val="auto"/>
                <w:kern w:val="0"/>
                <w:sz w:val="22"/>
                <w:szCs w:val="22"/>
                <w:u w:val="none"/>
                <w:lang w:val="en-US" w:eastAsia="zh-CN" w:bidi="ar"/>
              </w:rPr>
              <w:t>（含材质）</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b/>
                <w:bCs/>
                <w:i w:val="0"/>
                <w:snapToGrid w:val="0"/>
                <w:color w:val="auto"/>
                <w:kern w:val="0"/>
                <w:sz w:val="21"/>
                <w:szCs w:val="21"/>
                <w:u w:val="none"/>
                <w:lang w:eastAsia="en-US"/>
              </w:rPr>
            </w:pPr>
            <w:r>
              <w:rPr>
                <w:rFonts w:hint="eastAsia" w:ascii="仿宋" w:hAnsi="仿宋" w:eastAsia="仿宋" w:cs="仿宋"/>
                <w:b/>
                <w:bCs/>
                <w:snapToGrid w:val="0"/>
                <w:color w:val="auto"/>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RS14 通讯板</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DAA25005C1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SKF轴承 6003ZZ</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6003ZZ-SKF</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西门子接触器</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3RT6026-1AG20</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4</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遥控板</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DCA26800AL1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5</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显示芯片</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DAA26800FM2</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6</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导向装置</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XBA22801D1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7</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适配器</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28AAQA2D-1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8</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厅门锁总成</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HAA431G3</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9</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显示芯片</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DAA26800FM1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10</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CDAA177A1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11</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SEL3-A1Z 厅门锁开关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XAA661AJ1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12</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237-TK2-11 缓冲器开关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$X/DAA22550D506-SPC</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13</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整流桥</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i w:val="0"/>
                <w:snapToGrid w:val="0"/>
                <w:color w:val="auto"/>
                <w:kern w:val="0"/>
                <w:sz w:val="21"/>
                <w:szCs w:val="21"/>
                <w:u w:val="none"/>
                <w:lang w:val="en-US" w:eastAsia="zh-CN" w:bidi="ar"/>
              </w:rPr>
              <w:t>KBPC3510</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14</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厅门锁</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i w:val="0"/>
                <w:snapToGrid w:val="0"/>
                <w:color w:val="auto"/>
                <w:kern w:val="0"/>
                <w:sz w:val="21"/>
                <w:szCs w:val="21"/>
                <w:u w:val="none"/>
                <w:lang w:val="en-US" w:eastAsia="zh-CN" w:bidi="ar"/>
              </w:rPr>
              <w:t>HBA23400A1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15</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电池</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i w:val="0"/>
                <w:snapToGrid w:val="0"/>
                <w:color w:val="auto"/>
                <w:kern w:val="0"/>
                <w:sz w:val="21"/>
                <w:szCs w:val="21"/>
                <w:u w:val="none"/>
                <w:lang w:val="en-US" w:eastAsia="zh-CN" w:bidi="ar"/>
              </w:rPr>
              <w:t>CB1240</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16</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曳引绳 1570/1570 8X19S</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i w:val="0"/>
                <w:snapToGrid w:val="0"/>
                <w:color w:val="auto"/>
                <w:kern w:val="0"/>
                <w:sz w:val="21"/>
                <w:szCs w:val="21"/>
                <w:u w:val="none"/>
                <w:lang w:val="en-US" w:eastAsia="zh-CN" w:bidi="ar"/>
              </w:rPr>
              <w:t>DAA712N1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17</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E和IPANEL闭锁装置盖</w:t>
            </w:r>
          </w:p>
        </w:tc>
        <w:tc>
          <w:tcPr>
            <w:tcW w:w="3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DBA285BS2</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18</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缓冲器开关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DAA22550D506</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19</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感应式接近开关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DAA608J3</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20</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缓冲器开关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DAA22550D506</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21</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触点开关组件</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HAA661C3</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22</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按钮标记牌</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DAA396NNS301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23</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梳齿</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XAA453D3</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24</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防护套</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DAA396AW2</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25</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同步带</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HAA717B3</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26</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滚轮</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DAA456BZ1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27</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锁梯开关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DAA23500BH1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28</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门吊滚轮</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KAA456ABZ2</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29</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轿厢滚轮</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DAA24180E404</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30</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轿门偏心轮</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HAA502A1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31</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滚轮 56MM 内六角</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$X/XAA456AZ1-CI-INNE</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32</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应急电源</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RKP220/12</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33</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路路通</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CRC5005CWO</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2"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34</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锁</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DAA431AX1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35</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安全开关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DAA608B1_OE</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36</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开关及触头</w:t>
            </w:r>
          </w:p>
        </w:tc>
        <w:tc>
          <w:tcPr>
            <w:tcW w:w="3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DO177AV1-AW1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37</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轿门钢丝绳 OP=900</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FAA712AK5</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38</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2"/>
                <w:szCs w:val="22"/>
                <w:u w:val="none"/>
                <w:lang w:val="en-US" w:eastAsia="zh-CN" w:bidi="ar"/>
              </w:rPr>
              <w:t>从动轮组件</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S1106101F</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39</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挂轮组件</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HAA456A1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40</w:t>
            </w:r>
          </w:p>
        </w:tc>
        <w:tc>
          <w:tcPr>
            <w:tcW w:w="3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空气开关</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DZ47-63/C40</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41</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对重滚轮</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DAA456BY1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42</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接插件</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A4N235275</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43</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整合型轿顶电源 220V 带警铃</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XAA25302AC15</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44</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支架机构(左)</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val="en-US" w:eastAsia="zh-CN" w:bidi="ar"/>
              </w:rPr>
            </w:pPr>
            <w:r>
              <w:rPr>
                <w:rFonts w:hint="eastAsia" w:ascii="仿宋" w:hAnsi="仿宋" w:eastAsia="仿宋" w:cs="仿宋"/>
                <w:snapToGrid w:val="0"/>
                <w:color w:val="auto"/>
                <w:kern w:val="0"/>
                <w:sz w:val="21"/>
                <w:szCs w:val="21"/>
                <w:u w:val="none"/>
                <w:lang w:eastAsia="zh-CN" w:bidi="ar"/>
              </w:rPr>
              <w:t>XF3703104</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i w:val="0"/>
                <w:snapToGrid w:val="0"/>
                <w:color w:val="auto"/>
                <w:kern w:val="0"/>
                <w:sz w:val="21"/>
                <w:szCs w:val="21"/>
                <w:u w:val="none"/>
                <w:lang w:val="en-US" w:eastAsia="zh-CN" w:bidi="ar"/>
              </w:rPr>
              <w:t>45</w:t>
            </w:r>
          </w:p>
        </w:tc>
        <w:tc>
          <w:tcPr>
            <w:tcW w:w="3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偏心轮</w:t>
            </w:r>
          </w:p>
        </w:tc>
        <w:tc>
          <w:tcPr>
            <w:tcW w:w="3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zh-CN" w:bidi="ar"/>
              </w:rPr>
            </w:pPr>
            <w:r>
              <w:rPr>
                <w:rFonts w:hint="eastAsia" w:ascii="仿宋" w:hAnsi="仿宋" w:eastAsia="仿宋" w:cs="仿宋"/>
                <w:snapToGrid w:val="0"/>
                <w:color w:val="auto"/>
                <w:kern w:val="0"/>
                <w:sz w:val="21"/>
                <w:szCs w:val="21"/>
                <w:u w:val="none"/>
                <w:lang w:eastAsia="zh-CN" w:bidi="ar"/>
              </w:rPr>
              <w:t>XBA502K1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kinsoku w:val="0"/>
              <w:autoSpaceDE w:val="0"/>
              <w:autoSpaceDN w:val="0"/>
              <w:adjustRightInd w:val="0"/>
              <w:snapToGrid w:val="0"/>
              <w:spacing w:line="240" w:lineRule="auto"/>
              <w:jc w:val="center"/>
              <w:textAlignment w:val="center"/>
              <w:rPr>
                <w:rFonts w:hint="eastAsia" w:ascii="仿宋" w:hAnsi="仿宋" w:eastAsia="仿宋" w:cs="仿宋"/>
                <w:i w:val="0"/>
                <w:snapToGrid w:val="0"/>
                <w:color w:val="auto"/>
                <w:kern w:val="0"/>
                <w:sz w:val="21"/>
                <w:szCs w:val="21"/>
                <w:u w:val="none"/>
                <w:lang w:eastAsia="en-US"/>
              </w:rPr>
            </w:pPr>
            <w:r>
              <w:rPr>
                <w:rFonts w:hint="eastAsia" w:ascii="仿宋" w:hAnsi="仿宋" w:eastAsia="仿宋" w:cs="仿宋"/>
                <w:snapToGrid w:val="0"/>
                <w:color w:val="auto"/>
                <w:kern w:val="0"/>
                <w:sz w:val="21"/>
                <w:szCs w:val="21"/>
                <w:u w:val="none"/>
                <w:lang w:val="en-US" w:eastAsia="zh-CN" w:bidi="ar"/>
              </w:rPr>
              <w:t>500</w:t>
            </w:r>
            <w:r>
              <w:rPr>
                <w:rFonts w:hint="eastAsia" w:ascii="仿宋" w:hAnsi="仿宋" w:eastAsia="仿宋" w:cs="仿宋"/>
                <w:snapToGrid w:val="0"/>
                <w:color w:val="auto"/>
                <w:kern w:val="0"/>
                <w:sz w:val="22"/>
                <w:szCs w:val="22"/>
                <w:u w:val="none"/>
                <w:lang w:val="en-US" w:eastAsia="zh-CN" w:bidi="ar"/>
              </w:rPr>
              <w:t>元以下配件</w:t>
            </w:r>
          </w:p>
        </w:tc>
      </w:tr>
    </w:tbl>
    <w:p>
      <w:pPr>
        <w:widowControl/>
        <w:kinsoku w:val="0"/>
        <w:autoSpaceDE w:val="0"/>
        <w:autoSpaceDN w:val="0"/>
        <w:adjustRightInd w:val="0"/>
        <w:snapToGrid w:val="0"/>
        <w:spacing w:line="360" w:lineRule="auto"/>
        <w:jc w:val="both"/>
        <w:textAlignment w:val="baseline"/>
        <w:rPr>
          <w:rFonts w:hint="eastAsia" w:ascii="仿宋" w:hAnsi="仿宋" w:eastAsia="仿宋" w:cs="仿宋"/>
          <w:b w:val="0"/>
          <w:bCs/>
          <w:snapToGrid w:val="0"/>
          <w:color w:val="auto"/>
          <w:kern w:val="0"/>
          <w:sz w:val="28"/>
          <w:szCs w:val="28"/>
          <w:lang w:eastAsia="en-US"/>
        </w:rPr>
      </w:pPr>
    </w:p>
    <w:p>
      <w:pPr>
        <w:widowControl/>
        <w:kinsoku w:val="0"/>
        <w:autoSpaceDE w:val="0"/>
        <w:autoSpaceDN w:val="0"/>
        <w:adjustRightInd w:val="0"/>
        <w:snapToGrid w:val="0"/>
        <w:spacing w:line="240" w:lineRule="auto"/>
        <w:ind w:firstLine="560" w:firstLineChars="200"/>
        <w:jc w:val="both"/>
        <w:textAlignment w:val="baseline"/>
        <w:rPr>
          <w:rFonts w:hint="eastAsia" w:ascii="仿宋" w:hAnsi="仿宋" w:eastAsia="仿宋" w:cs="仿宋"/>
          <w:b w:val="0"/>
          <w:bCs/>
          <w:snapToGrid w:val="0"/>
          <w:color w:val="auto"/>
          <w:kern w:val="0"/>
          <w:sz w:val="28"/>
          <w:szCs w:val="28"/>
          <w:lang w:eastAsia="en-US"/>
        </w:rPr>
      </w:pPr>
      <w:r>
        <w:rPr>
          <w:rFonts w:hint="eastAsia" w:ascii="仿宋" w:hAnsi="仿宋" w:eastAsia="仿宋" w:cs="仿宋"/>
          <w:b w:val="0"/>
          <w:bCs/>
          <w:snapToGrid w:val="0"/>
          <w:color w:val="auto"/>
          <w:kern w:val="0"/>
          <w:sz w:val="28"/>
          <w:szCs w:val="28"/>
          <w:lang w:eastAsia="en-US"/>
        </w:rPr>
        <w:t>备注:上表未列但费用在 500元以内的配件，同样由乙方免费维修。</w:t>
      </w:r>
    </w:p>
    <w:p>
      <w:pPr>
        <w:widowControl/>
        <w:kinsoku w:val="0"/>
        <w:autoSpaceDE w:val="0"/>
        <w:autoSpaceDN w:val="0"/>
        <w:adjustRightInd w:val="0"/>
        <w:snapToGrid w:val="0"/>
        <w:spacing w:line="240" w:lineRule="auto"/>
        <w:ind w:firstLine="562" w:firstLineChars="200"/>
        <w:jc w:val="both"/>
        <w:textAlignment w:val="baseline"/>
        <w:rPr>
          <w:rFonts w:hint="eastAsia" w:ascii="仿宋" w:hAnsi="仿宋" w:eastAsia="仿宋" w:cs="仿宋"/>
          <w:b/>
          <w:bCs w:val="0"/>
          <w:snapToGrid w:val="0"/>
          <w:color w:val="auto"/>
          <w:kern w:val="0"/>
          <w:sz w:val="28"/>
          <w:szCs w:val="28"/>
          <w:lang w:eastAsia="en-US"/>
        </w:rPr>
      </w:pPr>
      <w:r>
        <w:rPr>
          <w:rFonts w:hint="eastAsia" w:ascii="仿宋" w:hAnsi="仿宋" w:eastAsia="仿宋" w:cs="仿宋"/>
          <w:b/>
          <w:bCs w:val="0"/>
          <w:snapToGrid w:val="0"/>
          <w:color w:val="auto"/>
          <w:kern w:val="0"/>
          <w:sz w:val="28"/>
          <w:szCs w:val="28"/>
          <w:lang w:eastAsia="en-US"/>
        </w:rPr>
        <w:t>免费提供的油料及部分易耗件</w:t>
      </w:r>
    </w:p>
    <w:p>
      <w:pPr>
        <w:widowControl/>
        <w:kinsoku w:val="0"/>
        <w:autoSpaceDE w:val="0"/>
        <w:autoSpaceDN w:val="0"/>
        <w:adjustRightInd w:val="0"/>
        <w:snapToGrid w:val="0"/>
        <w:spacing w:line="240" w:lineRule="auto"/>
        <w:ind w:left="0" w:firstLine="560" w:firstLineChars="200"/>
        <w:jc w:val="both"/>
        <w:textAlignment w:val="baseline"/>
        <w:rPr>
          <w:rFonts w:hint="eastAsia" w:ascii="仿宋" w:hAnsi="仿宋" w:eastAsia="仿宋" w:cs="仿宋"/>
          <w:snapToGrid w:val="0"/>
          <w:color w:val="auto"/>
          <w:kern w:val="0"/>
          <w:sz w:val="28"/>
          <w:szCs w:val="28"/>
          <w:lang w:eastAsia="en-US"/>
        </w:rPr>
      </w:pPr>
      <w:r>
        <w:rPr>
          <w:rFonts w:hint="eastAsia" w:ascii="仿宋" w:hAnsi="仿宋" w:eastAsia="仿宋" w:cs="仿宋"/>
          <w:snapToGrid w:val="0"/>
          <w:color w:val="auto"/>
          <w:kern w:val="0"/>
          <w:sz w:val="28"/>
          <w:szCs w:val="28"/>
          <w:lang w:eastAsia="en-US"/>
        </w:rPr>
        <w:t>油料：机油(不含涡轮蜗杆油)、黄油。</w:t>
      </w:r>
    </w:p>
    <w:p>
      <w:pPr>
        <w:widowControl/>
        <w:kinsoku w:val="0"/>
        <w:autoSpaceDE w:val="0"/>
        <w:autoSpaceDN w:val="0"/>
        <w:adjustRightInd w:val="0"/>
        <w:snapToGrid w:val="0"/>
        <w:spacing w:line="240" w:lineRule="auto"/>
        <w:ind w:firstLine="560" w:firstLineChars="200"/>
        <w:jc w:val="left"/>
        <w:textAlignment w:val="baseline"/>
        <w:rPr>
          <w:rFonts w:hint="eastAsia" w:ascii="仿宋" w:hAnsi="仿宋" w:eastAsia="仿宋" w:cs="仿宋"/>
          <w:snapToGrid w:val="0"/>
          <w:color w:val="auto"/>
          <w:kern w:val="0"/>
          <w:sz w:val="28"/>
          <w:szCs w:val="28"/>
          <w:lang w:eastAsia="en-US"/>
        </w:rPr>
      </w:pPr>
      <w:r>
        <w:rPr>
          <w:rFonts w:hint="eastAsia" w:ascii="仿宋" w:hAnsi="仿宋" w:eastAsia="仿宋" w:cs="仿宋"/>
          <w:snapToGrid w:val="0"/>
          <w:color w:val="auto"/>
          <w:kern w:val="0"/>
          <w:sz w:val="28"/>
          <w:szCs w:val="28"/>
          <w:lang w:eastAsia="en-US"/>
        </w:rPr>
        <w:t>易耗件：棉纱团、油毛毡（YP、B、F）、滑块、主轨通用靴衬、打磨砂纸。</w:t>
      </w:r>
    </w:p>
    <w:p>
      <w:pPr>
        <w:widowControl/>
        <w:kinsoku w:val="0"/>
        <w:autoSpaceDE w:val="0"/>
        <w:autoSpaceDN w:val="0"/>
        <w:adjustRightInd w:val="0"/>
        <w:snapToGrid w:val="0"/>
        <w:spacing w:line="240" w:lineRule="auto"/>
        <w:ind w:firstLine="440" w:firstLineChars="200"/>
        <w:jc w:val="left"/>
        <w:textAlignment w:val="baseline"/>
        <w:rPr>
          <w:rFonts w:hint="eastAsia" w:ascii="仿宋" w:hAnsi="仿宋" w:eastAsia="仿宋" w:cs="仿宋"/>
          <w:snapToGrid w:val="0"/>
          <w:color w:val="auto"/>
          <w:kern w:val="0"/>
          <w:sz w:val="22"/>
          <w:szCs w:val="21"/>
          <w:lang w:eastAsia="en-US"/>
        </w:rPr>
      </w:pPr>
    </w:p>
    <w:p>
      <w:pPr>
        <w:widowControl/>
        <w:kinsoku w:val="0"/>
        <w:autoSpaceDE w:val="0"/>
        <w:autoSpaceDN w:val="0"/>
        <w:adjustRightInd w:val="0"/>
        <w:snapToGrid w:val="0"/>
        <w:spacing w:line="240" w:lineRule="auto"/>
        <w:ind w:firstLine="440" w:firstLineChars="200"/>
        <w:jc w:val="left"/>
        <w:textAlignment w:val="baseline"/>
        <w:rPr>
          <w:rFonts w:hint="eastAsia" w:ascii="仿宋" w:hAnsi="仿宋" w:eastAsia="仿宋" w:cs="仿宋"/>
          <w:snapToGrid w:val="0"/>
          <w:color w:val="auto"/>
          <w:kern w:val="0"/>
          <w:sz w:val="22"/>
          <w:szCs w:val="22"/>
          <w:lang w:eastAsia="en-US"/>
        </w:rPr>
      </w:pPr>
    </w:p>
    <w:p>
      <w:pPr>
        <w:rPr>
          <w:rFonts w:hint="default"/>
          <w:lang w:val="en-US" w:eastAsia="zh-CN"/>
        </w:rPr>
      </w:pPr>
    </w:p>
    <w:sectPr>
      <w:pgSz w:w="11906" w:h="16838"/>
      <w:pgMar w:top="1304" w:right="1531" w:bottom="1247"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jc w:val="center"/>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1"/>
                      <w:jc w:val="center"/>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abstractNum w:abstractNumId="3">
    <w:nsid w:val="509033C2"/>
    <w:multiLevelType w:val="singleLevel"/>
    <w:tmpl w:val="509033C2"/>
    <w:lvl w:ilvl="0" w:tentative="0">
      <w:start w:val="7"/>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6FE221D"/>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9069D0"/>
    <w:rsid w:val="47C0473A"/>
    <w:rsid w:val="484138CD"/>
    <w:rsid w:val="48587E35"/>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1"/>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character" w:customStyle="1" w:styleId="35">
    <w:name w:val="font11"/>
    <w:basedOn w:val="16"/>
    <w:qFormat/>
    <w:uiPriority w:val="0"/>
    <w:rPr>
      <w:rFonts w:hint="eastAsia" w:ascii="宋体" w:hAnsi="宋体" w:eastAsia="宋体" w:cs="宋体"/>
      <w:color w:val="000000"/>
      <w:sz w:val="20"/>
      <w:szCs w:val="20"/>
      <w:u w:val="none"/>
    </w:rPr>
  </w:style>
  <w:style w:type="character" w:customStyle="1" w:styleId="36">
    <w:name w:val="font41"/>
    <w:basedOn w:val="16"/>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0</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2026-09-07T09:31:30Z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