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8E686">
      <w:pPr>
        <w:pStyle w:val="2"/>
        <w:jc w:val="center"/>
        <w:rPr>
          <w:sz w:val="52"/>
          <w:szCs w:val="52"/>
        </w:rPr>
      </w:pPr>
      <w:r>
        <w:rPr>
          <w:rFonts w:hint="eastAsia"/>
          <w:sz w:val="52"/>
          <w:szCs w:val="52"/>
          <w:lang w:val="en-US" w:eastAsia="zh-CN"/>
        </w:rPr>
        <w:t>鸿都酒店更新改造</w:t>
      </w:r>
      <w:r>
        <w:rPr>
          <w:rFonts w:hint="eastAsia"/>
          <w:sz w:val="52"/>
          <w:szCs w:val="52"/>
        </w:rPr>
        <w:t>项目</w:t>
      </w:r>
    </w:p>
    <w:p w14:paraId="4B5308CE">
      <w:pPr>
        <w:pStyle w:val="2"/>
        <w:jc w:val="center"/>
        <w:rPr>
          <w:sz w:val="52"/>
          <w:szCs w:val="52"/>
        </w:rPr>
      </w:pPr>
      <w:r>
        <w:rPr>
          <w:rFonts w:hint="eastAsia"/>
          <w:sz w:val="52"/>
          <w:szCs w:val="52"/>
        </w:rPr>
        <w:t>沙盘模型制作服务采购需求任务书</w:t>
      </w:r>
    </w:p>
    <w:p w14:paraId="47E1A99D">
      <w:pPr>
        <w:rPr>
          <w:sz w:val="52"/>
          <w:szCs w:val="52"/>
        </w:rPr>
      </w:pPr>
    </w:p>
    <w:p w14:paraId="77D2C6D8">
      <w:pPr>
        <w:pStyle w:val="11"/>
        <w:rPr>
          <w:sz w:val="52"/>
          <w:szCs w:val="52"/>
        </w:rPr>
      </w:pPr>
    </w:p>
    <w:p w14:paraId="3ED76FE6">
      <w:pPr>
        <w:pStyle w:val="11"/>
        <w:rPr>
          <w:sz w:val="52"/>
          <w:szCs w:val="52"/>
        </w:rPr>
      </w:pPr>
    </w:p>
    <w:p w14:paraId="0F3E909C">
      <w:pPr>
        <w:spacing w:before="156" w:beforeLines="50" w:after="156" w:afterLines="50"/>
        <w:ind w:left="102"/>
        <w:jc w:val="center"/>
        <w:rPr>
          <w:rFonts w:ascii="宋体" w:hAnsi="宋体"/>
          <w:b/>
          <w:sz w:val="30"/>
          <w:szCs w:val="30"/>
        </w:rPr>
      </w:pPr>
    </w:p>
    <w:p w14:paraId="34DF88F8">
      <w:pPr>
        <w:spacing w:before="156" w:beforeLines="50" w:after="156" w:afterLines="50"/>
        <w:ind w:left="102"/>
        <w:jc w:val="center"/>
        <w:rPr>
          <w:rFonts w:ascii="宋体" w:hAnsi="宋体"/>
          <w:b/>
          <w:sz w:val="30"/>
          <w:szCs w:val="30"/>
        </w:rPr>
      </w:pPr>
    </w:p>
    <w:p w14:paraId="711CA844">
      <w:pPr>
        <w:spacing w:before="156" w:beforeLines="50" w:after="156" w:afterLines="50"/>
        <w:ind w:left="102"/>
        <w:jc w:val="center"/>
        <w:rPr>
          <w:rFonts w:ascii="宋体" w:hAnsi="宋体"/>
          <w:b/>
          <w:sz w:val="30"/>
          <w:szCs w:val="30"/>
        </w:rPr>
      </w:pPr>
    </w:p>
    <w:p w14:paraId="6CAC50E3">
      <w:pPr>
        <w:spacing w:before="156" w:beforeLines="50" w:after="156" w:afterLines="50"/>
        <w:ind w:left="102"/>
        <w:jc w:val="center"/>
        <w:rPr>
          <w:rFonts w:ascii="宋体" w:hAnsi="宋体"/>
          <w:b/>
          <w:sz w:val="30"/>
          <w:szCs w:val="30"/>
        </w:rPr>
      </w:pPr>
    </w:p>
    <w:p w14:paraId="5AE00F46">
      <w:pPr>
        <w:spacing w:before="156" w:beforeLines="50" w:after="156" w:afterLines="50"/>
        <w:ind w:left="102"/>
        <w:jc w:val="center"/>
        <w:rPr>
          <w:rFonts w:ascii="宋体" w:hAnsi="宋体"/>
          <w:b/>
          <w:sz w:val="30"/>
          <w:szCs w:val="30"/>
        </w:rPr>
      </w:pPr>
    </w:p>
    <w:p w14:paraId="381B7A36">
      <w:pPr>
        <w:spacing w:before="156" w:beforeLines="50" w:after="156" w:afterLines="50"/>
        <w:ind w:left="102"/>
        <w:jc w:val="center"/>
        <w:rPr>
          <w:rFonts w:ascii="宋体" w:hAnsi="宋体"/>
          <w:b/>
          <w:sz w:val="30"/>
          <w:szCs w:val="30"/>
        </w:rPr>
      </w:pPr>
    </w:p>
    <w:p w14:paraId="2ECAF563">
      <w:pPr>
        <w:spacing w:before="156" w:beforeLines="50" w:after="156" w:afterLines="50"/>
        <w:jc w:val="both"/>
        <w:rPr>
          <w:rFonts w:ascii="宋体" w:hAnsi="宋体"/>
          <w:b/>
          <w:sz w:val="30"/>
          <w:szCs w:val="30"/>
        </w:rPr>
      </w:pPr>
    </w:p>
    <w:p w14:paraId="70F2F1E9">
      <w:pPr>
        <w:spacing w:before="156" w:beforeLines="50" w:after="156" w:afterLines="50"/>
        <w:ind w:left="102"/>
        <w:jc w:val="center"/>
        <w:rPr>
          <w:rFonts w:ascii="宋体" w:hAnsi="宋体"/>
          <w:b/>
          <w:sz w:val="30"/>
          <w:szCs w:val="30"/>
        </w:rPr>
      </w:pPr>
    </w:p>
    <w:p w14:paraId="477595CA">
      <w:pPr>
        <w:spacing w:before="156" w:beforeLines="50" w:after="156" w:afterLines="50"/>
        <w:ind w:left="102"/>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珠海市正方泰和投资有限公司</w:t>
      </w:r>
    </w:p>
    <w:p w14:paraId="083E48D5">
      <w:pPr>
        <w:spacing w:before="156" w:beforeLines="50" w:after="156" w:afterLines="50"/>
        <w:ind w:left="102"/>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 xml:space="preserve"> 2026年8月</w:t>
      </w:r>
    </w:p>
    <w:p w14:paraId="5E970103">
      <w:pPr>
        <w:spacing w:line="360" w:lineRule="auto"/>
        <w:rPr>
          <w:rFonts w:ascii="宋体" w:hAnsi="宋体" w:cs="宋体"/>
          <w:b/>
          <w:bCs/>
          <w:sz w:val="32"/>
          <w:szCs w:val="32"/>
        </w:rPr>
      </w:pPr>
      <w:r>
        <w:rPr>
          <w:rFonts w:hint="eastAsia" w:ascii="宋体" w:hAnsi="宋体"/>
          <w:b/>
          <w:bCs/>
          <w:sz w:val="32"/>
          <w:szCs w:val="32"/>
          <w:lang w:val="zh-CN"/>
        </w:rPr>
        <w:br w:type="page"/>
      </w:r>
      <w:r>
        <w:rPr>
          <w:rFonts w:hint="eastAsia" w:ascii="黑体" w:hAnsi="黑体" w:eastAsia="黑体" w:cs="黑体"/>
          <w:b/>
          <w:bCs/>
          <w:sz w:val="32"/>
          <w:szCs w:val="32"/>
        </w:rPr>
        <w:t>一、项目概况</w:t>
      </w:r>
    </w:p>
    <w:p w14:paraId="6402470C">
      <w:pPr>
        <w:spacing w:line="360" w:lineRule="auto"/>
        <w:ind w:firstLine="480" w:firstLineChars="200"/>
        <w:rPr>
          <w:rFonts w:ascii="宋体" w:hAnsi="宋体" w:cs="宋体"/>
          <w:b w:val="0"/>
          <w:bCs w:val="0"/>
          <w:sz w:val="24"/>
          <w:szCs w:val="24"/>
        </w:rPr>
      </w:pPr>
      <w:r>
        <w:rPr>
          <w:rFonts w:hint="eastAsia" w:ascii="宋体" w:hAnsi="宋体" w:cs="宋体"/>
          <w:b w:val="0"/>
          <w:bCs w:val="0"/>
          <w:sz w:val="24"/>
          <w:szCs w:val="24"/>
        </w:rPr>
        <w:t>鸿都酒店</w:t>
      </w:r>
      <w:r>
        <w:rPr>
          <w:rFonts w:hint="eastAsia" w:ascii="宋体" w:hAnsi="宋体" w:cs="宋体"/>
          <w:b w:val="0"/>
          <w:bCs w:val="0"/>
          <w:sz w:val="24"/>
          <w:szCs w:val="24"/>
          <w:lang w:val="en-US" w:eastAsia="zh-CN"/>
        </w:rPr>
        <w:t>更新改造</w:t>
      </w:r>
      <w:r>
        <w:rPr>
          <w:rFonts w:hint="eastAsia" w:ascii="宋体" w:hAnsi="宋体" w:cs="宋体"/>
          <w:b w:val="0"/>
          <w:bCs w:val="0"/>
          <w:sz w:val="24"/>
          <w:szCs w:val="24"/>
        </w:rPr>
        <w:t>项目是由珠海正方泰和投资有限公司开发的综合体项目，位于珠海拱北口岸核心区，项目集住宅、酒店、商业于一体，依托朗廷酒店的奢华品牌，</w:t>
      </w:r>
      <w:r>
        <w:rPr>
          <w:rFonts w:hint="eastAsia" w:ascii="宋体" w:hAnsi="宋体" w:cs="宋体"/>
          <w:b w:val="0"/>
          <w:bCs w:val="0"/>
          <w:sz w:val="24"/>
          <w:szCs w:val="24"/>
          <w:lang w:val="en-US" w:eastAsia="zh-CN"/>
        </w:rPr>
        <w:t>打造珠海口岸的地标性项目</w:t>
      </w:r>
      <w:r>
        <w:rPr>
          <w:rFonts w:hint="eastAsia" w:ascii="宋体" w:hAnsi="宋体" w:cs="宋体"/>
          <w:b w:val="0"/>
          <w:bCs w:val="0"/>
          <w:sz w:val="24"/>
          <w:szCs w:val="24"/>
        </w:rPr>
        <w:t>。为更好地展示项目区位优势、产品品质及国际奢华酒店服务理念，现需制作项目专属沙盘模型。</w:t>
      </w:r>
    </w:p>
    <w:p w14:paraId="70A7A2D2">
      <w:pPr>
        <w:spacing w:line="360" w:lineRule="auto"/>
        <w:ind w:firstLine="480" w:firstLineChars="200"/>
        <w:rPr>
          <w:rFonts w:hint="eastAsia" w:ascii="宋体" w:hAnsi="宋体" w:cs="宋体"/>
          <w:b w:val="0"/>
          <w:bCs w:val="0"/>
          <w:sz w:val="24"/>
          <w:szCs w:val="24"/>
          <w:lang w:val="en-US" w:eastAsia="zh-CN"/>
        </w:rPr>
      </w:pPr>
      <w:r>
        <w:rPr>
          <w:rFonts w:hint="eastAsia" w:ascii="宋体" w:hAnsi="宋体" w:cs="宋体"/>
          <w:b w:val="0"/>
          <w:bCs w:val="0"/>
          <w:sz w:val="24"/>
          <w:szCs w:val="24"/>
        </w:rPr>
        <w:t>项目总建筑面积约6.1万㎡，为单栋150米超高层塔楼（共38层）：1~3层为商业、4~24层为住宅（共472套，户型66~95㎡）、25层为避难层、26~38层为朗廷酒店。沙盘制作应重点表现项目区位价值、“商业+住宅+酒店”同栋共生的业态结构及国际奢华酒店配套服务理念。</w:t>
      </w:r>
      <w:r>
        <w:rPr>
          <w:rFonts w:hint="eastAsia" w:ascii="宋体" w:hAnsi="宋体" w:cs="宋体"/>
          <w:b w:val="0"/>
          <w:bCs w:val="0"/>
          <w:sz w:val="24"/>
          <w:szCs w:val="24"/>
          <w:lang w:val="en-US" w:eastAsia="zh-CN"/>
        </w:rPr>
        <w:t>项目效果图如下：</w:t>
      </w:r>
    </w:p>
    <w:p w14:paraId="04709F12">
      <w:pPr>
        <w:spacing w:line="360" w:lineRule="auto"/>
        <w:rPr>
          <w:rFonts w:hint="default" w:ascii="宋体" w:hAnsi="宋体" w:cs="宋体"/>
          <w:b w:val="0"/>
          <w:bCs w:val="0"/>
          <w:sz w:val="24"/>
          <w:szCs w:val="24"/>
          <w:lang w:val="en-US" w:eastAsia="zh-CN"/>
        </w:rPr>
      </w:pPr>
      <w:r>
        <w:drawing>
          <wp:inline distT="0" distB="0" distL="114300" distR="114300">
            <wp:extent cx="2573020" cy="1809115"/>
            <wp:effectExtent l="0" t="0" r="17780" b="196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573020" cy="1809115"/>
                    </a:xfrm>
                    <a:prstGeom prst="rect">
                      <a:avLst/>
                    </a:prstGeom>
                    <a:noFill/>
                    <a:ln>
                      <a:noFill/>
                    </a:ln>
                  </pic:spPr>
                </pic:pic>
              </a:graphicData>
            </a:graphic>
          </wp:inline>
        </w:drawing>
      </w:r>
      <w:r>
        <w:drawing>
          <wp:inline distT="0" distB="0" distL="114300" distR="114300">
            <wp:extent cx="2582545" cy="1814830"/>
            <wp:effectExtent l="0" t="0" r="8255" b="139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2582545" cy="1814830"/>
                    </a:xfrm>
                    <a:prstGeom prst="rect">
                      <a:avLst/>
                    </a:prstGeom>
                    <a:noFill/>
                    <a:ln>
                      <a:noFill/>
                    </a:ln>
                  </pic:spPr>
                </pic:pic>
              </a:graphicData>
            </a:graphic>
          </wp:inline>
        </w:drawing>
      </w:r>
    </w:p>
    <w:p w14:paraId="13A96BBC">
      <w:pPr>
        <w:spacing w:line="360" w:lineRule="auto"/>
        <w:rPr>
          <w:rFonts w:hint="eastAsia" w:ascii="黑体" w:hAnsi="黑体" w:eastAsia="黑体" w:cs="黑体"/>
          <w:b/>
          <w:bCs/>
          <w:sz w:val="32"/>
          <w:szCs w:val="32"/>
        </w:rPr>
      </w:pPr>
      <w:r>
        <w:rPr>
          <w:rFonts w:hint="eastAsia" w:ascii="黑体" w:hAnsi="黑体" w:eastAsia="黑体" w:cs="黑体"/>
          <w:b/>
          <w:bCs/>
          <w:sz w:val="32"/>
          <w:szCs w:val="32"/>
        </w:rPr>
        <w:t>二、模型制作整体要求</w:t>
      </w:r>
    </w:p>
    <w:p w14:paraId="7B5519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rPr>
        <w:t>整体风格：沙盘整体风格需体现项目“港珠澳桥头堡”的地标属性与“国际奢华酒店服务”的高端调性，展现现代、精致、奢华的视觉感受</w:t>
      </w:r>
      <w:r>
        <w:rPr>
          <w:rFonts w:hint="eastAsia" w:ascii="宋体" w:hAnsi="宋体" w:cs="宋体"/>
          <w:sz w:val="24"/>
          <w:lang w:eastAsia="zh-CN"/>
        </w:rPr>
        <w:t>。</w:t>
      </w:r>
      <w:r>
        <w:rPr>
          <w:rFonts w:hint="eastAsia" w:ascii="宋体" w:hAnsi="宋体" w:cs="宋体"/>
          <w:sz w:val="24"/>
          <w:lang w:val="en-US" w:eastAsia="zh-CN"/>
        </w:rPr>
        <w:t>以下为项目沙盘所处售楼部空间效果图示意：</w:t>
      </w:r>
      <w:r>
        <w:rPr>
          <w:rFonts w:hint="eastAsia" w:ascii="宋体" w:hAnsi="宋体" w:cs="宋体"/>
          <w:sz w:val="24"/>
        </w:rPr>
        <w:t>建筑体量应呼应项目“层层错落、坐山望海”的现代立面设计语言，体现150米城市地标气质。</w:t>
      </w:r>
    </w:p>
    <w:p w14:paraId="0D3683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cs="宋体"/>
          <w:sz w:val="24"/>
        </w:rPr>
      </w:pPr>
      <w:r>
        <w:drawing>
          <wp:inline distT="0" distB="0" distL="114300" distR="114300">
            <wp:extent cx="5267325" cy="3499485"/>
            <wp:effectExtent l="0" t="0" r="15875" b="571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6"/>
                    <a:stretch>
                      <a:fillRect/>
                    </a:stretch>
                  </pic:blipFill>
                  <pic:spPr>
                    <a:xfrm>
                      <a:off x="0" y="0"/>
                      <a:ext cx="5267325" cy="3499485"/>
                    </a:xfrm>
                    <a:prstGeom prst="rect">
                      <a:avLst/>
                    </a:prstGeom>
                    <a:noFill/>
                    <a:ln>
                      <a:noFill/>
                    </a:ln>
                  </pic:spPr>
                </pic:pic>
              </a:graphicData>
            </a:graphic>
          </wp:inline>
        </w:drawing>
      </w:r>
    </w:p>
    <w:p w14:paraId="36F588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rPr>
        <w:t>技术工艺：应采用数字化制作工艺，包括但不限于3D打印、五轴CNC数控雕刻、激光切割等先进技术，模型整体精度误差控制在0.1mm级，精准还原项目建筑外立面（含退台错落体量、幕墙分缝）、景观园林及室内空间细节，体现高品质感。</w:t>
      </w:r>
    </w:p>
    <w:p w14:paraId="1C0472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rPr>
        <w:t>材质要求：主体建筑及关键配套需使用实体材质，真实展现项目质感。所使用的材料及辅助</w:t>
      </w:r>
      <w:r>
        <w:rPr>
          <w:rFonts w:hint="eastAsia" w:ascii="宋体" w:hAnsi="宋体" w:cs="宋体"/>
          <w:sz w:val="24"/>
          <w:lang w:eastAsia="zh-CN"/>
        </w:rPr>
        <w:t>黏结</w:t>
      </w:r>
      <w:r>
        <w:rPr>
          <w:rFonts w:hint="eastAsia" w:ascii="宋体" w:hAnsi="宋体" w:cs="宋体"/>
          <w:sz w:val="24"/>
        </w:rPr>
        <w:t>胶必须为环保材料，符合国家室内空气环保检测合格标准，边角需做安全化处理。模型主体结构应满足国家防火规范要求的阻燃等级（不低于B1级），材料供应商需提供环保及阻燃检测报告；模型表面建议喷涂纳米级自洁防护涂层，降低日常积尘与维护频次。</w:t>
      </w:r>
    </w:p>
    <w:p w14:paraId="26686A23">
      <w:pPr>
        <w:spacing w:line="360" w:lineRule="auto"/>
        <w:rPr>
          <w:rFonts w:hint="eastAsia" w:ascii="黑体" w:hAnsi="黑体" w:eastAsia="黑体" w:cs="黑体"/>
          <w:b/>
          <w:bCs/>
          <w:sz w:val="32"/>
          <w:szCs w:val="32"/>
          <w:lang w:val="en-US"/>
        </w:rPr>
      </w:pPr>
      <w:r>
        <w:rPr>
          <w:rFonts w:hint="eastAsia" w:ascii="黑体" w:hAnsi="黑体" w:eastAsia="黑体" w:cs="黑体"/>
          <w:b/>
          <w:bCs/>
          <w:sz w:val="32"/>
          <w:szCs w:val="32"/>
        </w:rPr>
        <w:t>三、模型制作内容</w:t>
      </w:r>
    </w:p>
    <w:p w14:paraId="1F01406C">
      <w:pPr>
        <w:spacing w:line="360" w:lineRule="auto"/>
        <w:ind w:firstLine="480" w:firstLineChars="200"/>
        <w:rPr>
          <w:rFonts w:hint="default" w:ascii="宋体" w:hAnsi="宋体" w:cs="宋体"/>
          <w:sz w:val="24"/>
          <w:lang w:val="en-US" w:eastAsia="zh-CN"/>
        </w:rPr>
      </w:pPr>
      <w:r>
        <w:rPr>
          <w:rFonts w:hint="eastAsia" w:ascii="宋体" w:hAnsi="宋体" w:cs="宋体"/>
          <w:sz w:val="24"/>
          <w:lang w:val="en-US" w:eastAsia="zh-CN"/>
        </w:rPr>
        <w:t>项目沙盘一套，包含子母沙盘，整体比例参考如下图所示（均为基础示意，以最终满足项目空间及现场尺寸为准）；深化设计阶段，乙方应实地踏勘售楼部现场，按实际展示空间出具沙盘1:1平面放样图及高度分析图，经甲方书面确认后作为制作依据。</w:t>
      </w:r>
    </w:p>
    <w:p w14:paraId="4D4FD849">
      <w:pPr>
        <w:spacing w:line="360" w:lineRule="auto"/>
        <w:ind w:firstLine="420" w:firstLineChars="200"/>
        <w:jc w:val="center"/>
      </w:pPr>
      <w:r>
        <w:drawing>
          <wp:inline distT="0" distB="0" distL="114300" distR="114300">
            <wp:extent cx="4895850" cy="2794000"/>
            <wp:effectExtent l="0" t="0" r="635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4895850" cy="2794000"/>
                    </a:xfrm>
                    <a:prstGeom prst="rect">
                      <a:avLst/>
                    </a:prstGeom>
                    <a:noFill/>
                    <a:ln>
                      <a:noFill/>
                    </a:ln>
                  </pic:spPr>
                </pic:pic>
              </a:graphicData>
            </a:graphic>
          </wp:inline>
        </w:drawing>
      </w:r>
    </w:p>
    <w:p w14:paraId="249818A2">
      <w:pPr>
        <w:spacing w:line="360" w:lineRule="auto"/>
        <w:ind w:firstLine="420" w:firstLineChars="200"/>
        <w:jc w:val="center"/>
        <w:rPr>
          <w:rFonts w:hint="default" w:eastAsia="宋体"/>
          <w:lang w:val="en-US" w:eastAsia="zh-CN"/>
        </w:rPr>
      </w:pPr>
      <w:r>
        <w:rPr>
          <w:rFonts w:hint="eastAsia"/>
          <w:lang w:val="en-US" w:eastAsia="zh-CN"/>
        </w:rPr>
        <w:t>（平面比例示意）</w:t>
      </w:r>
    </w:p>
    <w:p w14:paraId="72A64AF3">
      <w:pPr>
        <w:spacing w:line="360" w:lineRule="auto"/>
        <w:ind w:firstLine="420" w:firstLineChars="200"/>
        <w:jc w:val="both"/>
      </w:pPr>
      <w:r>
        <w:drawing>
          <wp:inline distT="0" distB="0" distL="114300" distR="114300">
            <wp:extent cx="4693285" cy="2085975"/>
            <wp:effectExtent l="0" t="0" r="5715" b="22225"/>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8"/>
                    <a:stretch>
                      <a:fillRect/>
                    </a:stretch>
                  </pic:blipFill>
                  <pic:spPr>
                    <a:xfrm>
                      <a:off x="0" y="0"/>
                      <a:ext cx="4693285" cy="2085975"/>
                    </a:xfrm>
                    <a:prstGeom prst="rect">
                      <a:avLst/>
                    </a:prstGeom>
                    <a:noFill/>
                    <a:ln>
                      <a:noFill/>
                    </a:ln>
                  </pic:spPr>
                </pic:pic>
              </a:graphicData>
            </a:graphic>
          </wp:inline>
        </w:drawing>
      </w:r>
    </w:p>
    <w:p w14:paraId="4BBBF254">
      <w:pPr>
        <w:spacing w:line="360" w:lineRule="auto"/>
        <w:ind w:firstLine="420" w:firstLineChars="200"/>
        <w:jc w:val="center"/>
        <w:rPr>
          <w:rFonts w:hint="default" w:eastAsia="宋体"/>
          <w:lang w:val="en-US" w:eastAsia="zh-CN"/>
        </w:rPr>
      </w:pPr>
      <w:r>
        <w:rPr>
          <w:rFonts w:hint="eastAsia"/>
          <w:lang w:val="en-US" w:eastAsia="zh-CN"/>
        </w:rPr>
        <w:t>（高度示意）</w:t>
      </w:r>
    </w:p>
    <w:p w14:paraId="189216ED">
      <w:pPr>
        <w:spacing w:line="360" w:lineRule="auto"/>
        <w:jc w:val="center"/>
      </w:pPr>
      <w:r>
        <w:drawing>
          <wp:inline distT="0" distB="0" distL="114300" distR="114300">
            <wp:extent cx="4431030" cy="2539365"/>
            <wp:effectExtent l="0" t="0" r="13970" b="635"/>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9"/>
                    <a:stretch>
                      <a:fillRect/>
                    </a:stretch>
                  </pic:blipFill>
                  <pic:spPr>
                    <a:xfrm>
                      <a:off x="0" y="0"/>
                      <a:ext cx="4431030" cy="2539365"/>
                    </a:xfrm>
                    <a:prstGeom prst="rect">
                      <a:avLst/>
                    </a:prstGeom>
                    <a:noFill/>
                    <a:ln>
                      <a:noFill/>
                    </a:ln>
                  </pic:spPr>
                </pic:pic>
              </a:graphicData>
            </a:graphic>
          </wp:inline>
        </w:drawing>
      </w:r>
    </w:p>
    <w:p w14:paraId="66BFEA08">
      <w:pPr>
        <w:spacing w:line="360" w:lineRule="auto"/>
        <w:jc w:val="center"/>
        <w:rPr>
          <w:rFonts w:hint="eastAsia"/>
          <w:lang w:val="en-US" w:eastAsia="zh-CN"/>
        </w:rPr>
      </w:pPr>
      <w:r>
        <w:rPr>
          <w:rFonts w:hint="eastAsia"/>
          <w:lang w:eastAsia="zh-CN"/>
        </w:rPr>
        <w:t>（</w:t>
      </w:r>
      <w:r>
        <w:rPr>
          <w:rFonts w:hint="eastAsia"/>
          <w:lang w:val="en-US" w:eastAsia="zh-CN"/>
        </w:rPr>
        <w:t>模型类型示意）</w:t>
      </w:r>
    </w:p>
    <w:p w14:paraId="347C1980">
      <w:pPr>
        <w:spacing w:line="360" w:lineRule="auto"/>
        <w:jc w:val="center"/>
        <w:rPr>
          <w:rFonts w:hint="default"/>
          <w:lang w:val="en-US" w:eastAsia="zh-CN"/>
        </w:rPr>
      </w:pPr>
    </w:p>
    <w:tbl>
      <w:tblPr>
        <w:tblStyle w:val="8"/>
        <w:tblW w:w="0" w:type="auto"/>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94"/>
        <w:gridCol w:w="592"/>
        <w:gridCol w:w="1300"/>
        <w:gridCol w:w="1712"/>
        <w:gridCol w:w="3729"/>
      </w:tblGrid>
      <w:tr w14:paraId="1E2A2718">
        <w:trPr>
          <w:tblHeader/>
        </w:trPr>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77AAA">
            <w:pPr>
              <w:keepNext w:val="0"/>
              <w:keepLines w:val="0"/>
              <w:widowControl/>
              <w:suppressLineNumbers w:val="0"/>
              <w:jc w:val="center"/>
              <w:rPr>
                <w:b/>
                <w:bCs/>
                <w:sz w:val="24"/>
                <w:szCs w:val="24"/>
              </w:rPr>
            </w:pPr>
            <w:r>
              <w:rPr>
                <w:rFonts w:ascii="宋体" w:hAnsi="宋体" w:eastAsia="宋体" w:cs="宋体"/>
                <w:b/>
                <w:bCs/>
                <w:kern w:val="0"/>
                <w:sz w:val="24"/>
                <w:szCs w:val="24"/>
                <w:lang w:val="en-US" w:eastAsia="zh-CN" w:bidi="ar"/>
              </w:rPr>
              <w:t>沙盘类型</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36F2">
            <w:pPr>
              <w:keepNext w:val="0"/>
              <w:keepLines w:val="0"/>
              <w:widowControl/>
              <w:suppressLineNumbers w:val="0"/>
              <w:jc w:val="center"/>
              <w:rPr>
                <w:b/>
                <w:bCs/>
                <w:sz w:val="24"/>
                <w:szCs w:val="24"/>
              </w:rPr>
            </w:pPr>
            <w:r>
              <w:rPr>
                <w:rFonts w:ascii="宋体" w:hAnsi="宋体" w:eastAsia="宋体" w:cs="宋体"/>
                <w:b/>
                <w:bCs/>
                <w:kern w:val="0"/>
                <w:sz w:val="24"/>
                <w:szCs w:val="24"/>
                <w:lang w:val="en-US" w:eastAsia="zh-CN" w:bidi="ar"/>
              </w:rPr>
              <w:t>数量</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1AE15">
            <w:pPr>
              <w:keepNext w:val="0"/>
              <w:keepLines w:val="0"/>
              <w:widowControl/>
              <w:suppressLineNumbers w:val="0"/>
              <w:jc w:val="center"/>
              <w:rPr>
                <w:b/>
                <w:bCs/>
                <w:sz w:val="24"/>
                <w:szCs w:val="24"/>
              </w:rPr>
            </w:pPr>
            <w:r>
              <w:rPr>
                <w:rFonts w:ascii="宋体" w:hAnsi="宋体" w:eastAsia="宋体" w:cs="宋体"/>
                <w:b/>
                <w:bCs/>
                <w:kern w:val="0"/>
                <w:sz w:val="24"/>
                <w:szCs w:val="24"/>
                <w:lang w:val="en-US" w:eastAsia="zh-CN" w:bidi="ar"/>
              </w:rPr>
              <w:t>尺寸要求</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5E79">
            <w:pPr>
              <w:keepNext w:val="0"/>
              <w:keepLines w:val="0"/>
              <w:widowControl/>
              <w:suppressLineNumbers w:val="0"/>
              <w:jc w:val="center"/>
              <w:rPr>
                <w:b/>
                <w:bCs/>
                <w:sz w:val="24"/>
                <w:szCs w:val="24"/>
              </w:rPr>
            </w:pPr>
            <w:r>
              <w:rPr>
                <w:rFonts w:ascii="宋体" w:hAnsi="宋体" w:eastAsia="宋体" w:cs="宋体"/>
                <w:b/>
                <w:bCs/>
                <w:kern w:val="0"/>
                <w:sz w:val="24"/>
                <w:szCs w:val="24"/>
                <w:lang w:val="en-US" w:eastAsia="zh-CN" w:bidi="ar"/>
              </w:rPr>
              <w:t>制作比例</w:t>
            </w:r>
          </w:p>
        </w:tc>
        <w:tc>
          <w:tcPr>
            <w:tcW w:w="3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9FAE">
            <w:pPr>
              <w:keepNext w:val="0"/>
              <w:keepLines w:val="0"/>
              <w:widowControl/>
              <w:suppressLineNumbers w:val="0"/>
              <w:jc w:val="center"/>
              <w:rPr>
                <w:b/>
                <w:bCs/>
                <w:sz w:val="24"/>
                <w:szCs w:val="24"/>
              </w:rPr>
            </w:pPr>
            <w:r>
              <w:rPr>
                <w:rFonts w:ascii="宋体" w:hAnsi="宋体" w:eastAsia="宋体" w:cs="宋体"/>
                <w:b/>
                <w:bCs/>
                <w:kern w:val="0"/>
                <w:sz w:val="24"/>
                <w:szCs w:val="24"/>
                <w:lang w:val="en-US" w:eastAsia="zh-CN" w:bidi="ar"/>
              </w:rPr>
              <w:t>核心功能与材质要求</w:t>
            </w:r>
          </w:p>
        </w:tc>
      </w:tr>
      <w:tr w14:paraId="28C910A9">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90AF2">
            <w:pPr>
              <w:keepNext w:val="0"/>
              <w:keepLines w:val="0"/>
              <w:widowControl/>
              <w:suppressLineNumbers w:val="0"/>
              <w:jc w:val="center"/>
              <w:rPr>
                <w:sz w:val="24"/>
                <w:szCs w:val="24"/>
              </w:rPr>
            </w:pPr>
            <w:r>
              <w:rPr>
                <w:rStyle w:val="10"/>
                <w:rFonts w:hint="eastAsia" w:ascii="宋体" w:hAnsi="宋体" w:cs="宋体"/>
                <w:kern w:val="0"/>
                <w:sz w:val="24"/>
                <w:szCs w:val="24"/>
                <w:lang w:val="en-US" w:eastAsia="zh-CN" w:bidi="ar"/>
              </w:rPr>
              <w:t>母</w:t>
            </w:r>
            <w:r>
              <w:rPr>
                <w:rStyle w:val="10"/>
                <w:rFonts w:ascii="宋体" w:hAnsi="宋体" w:eastAsia="宋体" w:cs="宋体"/>
                <w:kern w:val="0"/>
                <w:sz w:val="24"/>
                <w:szCs w:val="24"/>
                <w:lang w:val="en-US" w:eastAsia="zh-CN" w:bidi="ar"/>
              </w:rPr>
              <w:t>沙盘</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E56D9">
            <w:pPr>
              <w:keepNext w:val="0"/>
              <w:keepLines w:val="0"/>
              <w:widowControl/>
              <w:suppressLineNumbers w:val="0"/>
              <w:jc w:val="center"/>
              <w:rPr>
                <w:sz w:val="24"/>
                <w:szCs w:val="24"/>
              </w:rPr>
            </w:pPr>
            <w:r>
              <w:rPr>
                <w:rFonts w:ascii="宋体" w:hAnsi="宋体" w:eastAsia="宋体" w:cs="宋体"/>
                <w:kern w:val="0"/>
                <w:sz w:val="24"/>
                <w:szCs w:val="24"/>
                <w:lang w:val="en-US" w:eastAsia="zh-CN" w:bidi="ar"/>
              </w:rPr>
              <w:t>1个</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22CB">
            <w:pPr>
              <w:keepNext w:val="0"/>
              <w:keepLines w:val="0"/>
              <w:widowControl/>
              <w:suppressLineNumbers w:val="0"/>
              <w:jc w:val="center"/>
              <w:rPr>
                <w:sz w:val="24"/>
                <w:szCs w:val="24"/>
              </w:rPr>
            </w:pPr>
            <w:r>
              <w:rPr>
                <w:rFonts w:ascii="宋体" w:hAnsi="宋体" w:eastAsia="宋体" w:cs="宋体"/>
                <w:kern w:val="0"/>
                <w:sz w:val="24"/>
                <w:szCs w:val="24"/>
                <w:lang w:val="en-US" w:eastAsia="zh-CN" w:bidi="ar"/>
              </w:rPr>
              <w:t>3500mm x 2600mm</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11D31">
            <w:pPr>
              <w:keepNext w:val="0"/>
              <w:keepLines w:val="0"/>
              <w:widowControl/>
              <w:suppressLineNumbers w:val="0"/>
              <w:jc w:val="center"/>
              <w:rPr>
                <w:sz w:val="24"/>
                <w:szCs w:val="24"/>
              </w:rPr>
            </w:pPr>
            <w:r>
              <w:rPr>
                <w:rFonts w:ascii="宋体" w:hAnsi="宋体" w:eastAsia="宋体" w:cs="宋体"/>
                <w:kern w:val="0"/>
                <w:sz w:val="24"/>
                <w:szCs w:val="24"/>
                <w:lang w:val="en-US" w:eastAsia="zh-CN" w:bidi="ar"/>
              </w:rPr>
              <w:t>项目本案约1:150，区域周边约1:500</w:t>
            </w:r>
          </w:p>
        </w:tc>
        <w:tc>
          <w:tcPr>
            <w:tcW w:w="3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BF8B">
            <w:pPr>
              <w:keepNext w:val="0"/>
              <w:keepLines w:val="0"/>
              <w:widowControl/>
              <w:suppressLineNumbers w:val="0"/>
              <w:jc w:val="center"/>
              <w:rPr>
                <w:sz w:val="24"/>
                <w:szCs w:val="24"/>
              </w:rPr>
            </w:pPr>
            <w:r>
              <w:rPr>
                <w:rFonts w:ascii="宋体" w:hAnsi="宋体" w:eastAsia="宋体" w:cs="宋体"/>
                <w:kern w:val="0"/>
                <w:sz w:val="24"/>
                <w:szCs w:val="24"/>
                <w:lang w:val="en-US" w:eastAsia="zh-CN" w:bidi="ar"/>
              </w:rPr>
              <w:t>整体展示项目地理位置、建筑群落、景观及周边关系。</w:t>
            </w:r>
          </w:p>
        </w:tc>
      </w:tr>
      <w:tr w14:paraId="6AE2996E">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F188A">
            <w:pPr>
              <w:keepNext w:val="0"/>
              <w:keepLines w:val="0"/>
              <w:widowControl/>
              <w:suppressLineNumbers w:val="0"/>
              <w:jc w:val="center"/>
              <w:rPr>
                <w:sz w:val="24"/>
                <w:szCs w:val="24"/>
              </w:rPr>
            </w:pPr>
            <w:r>
              <w:rPr>
                <w:rStyle w:val="10"/>
                <w:rFonts w:ascii="宋体" w:hAnsi="宋体" w:eastAsia="宋体" w:cs="宋体"/>
                <w:kern w:val="0"/>
                <w:sz w:val="24"/>
                <w:szCs w:val="24"/>
                <w:lang w:val="en-US" w:eastAsia="zh-CN" w:bidi="ar"/>
              </w:rPr>
              <w:t>子沙盘</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8208">
            <w:pPr>
              <w:keepNext w:val="0"/>
              <w:keepLines w:val="0"/>
              <w:widowControl/>
              <w:suppressLineNumbers w:val="0"/>
              <w:jc w:val="center"/>
              <w:rPr>
                <w:sz w:val="24"/>
                <w:szCs w:val="24"/>
              </w:rPr>
            </w:pPr>
            <w:r>
              <w:rPr>
                <w:rFonts w:ascii="宋体" w:hAnsi="宋体" w:eastAsia="宋体" w:cs="宋体"/>
                <w:kern w:val="0"/>
                <w:sz w:val="24"/>
                <w:szCs w:val="24"/>
                <w:lang w:val="en-US" w:eastAsia="zh-CN" w:bidi="ar"/>
              </w:rPr>
              <w:t>1个</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0949">
            <w:pPr>
              <w:keepNext w:val="0"/>
              <w:keepLines w:val="0"/>
              <w:widowControl/>
              <w:suppressLineNumbers w:val="0"/>
              <w:jc w:val="center"/>
              <w:rPr>
                <w:sz w:val="24"/>
                <w:szCs w:val="24"/>
              </w:rPr>
            </w:pPr>
            <w:r>
              <w:rPr>
                <w:rFonts w:ascii="宋体" w:hAnsi="宋体" w:eastAsia="宋体" w:cs="宋体"/>
                <w:kern w:val="0"/>
                <w:sz w:val="24"/>
                <w:szCs w:val="24"/>
                <w:lang w:val="en-US" w:eastAsia="zh-CN" w:bidi="ar"/>
              </w:rPr>
              <w:t>直径1400mm圆形</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DC74">
            <w:pPr>
              <w:keepNext w:val="0"/>
              <w:keepLines w:val="0"/>
              <w:widowControl/>
              <w:suppressLineNumbers w:val="0"/>
              <w:jc w:val="center"/>
              <w:rPr>
                <w:sz w:val="24"/>
                <w:szCs w:val="24"/>
              </w:rPr>
            </w:pPr>
            <w:r>
              <w:rPr>
                <w:rFonts w:ascii="宋体" w:hAnsi="宋体" w:eastAsia="宋体" w:cs="宋体"/>
                <w:kern w:val="0"/>
                <w:sz w:val="24"/>
                <w:szCs w:val="24"/>
                <w:lang w:val="en-US" w:eastAsia="zh-CN" w:bidi="ar"/>
              </w:rPr>
              <w:t>1:150</w:t>
            </w:r>
          </w:p>
        </w:tc>
        <w:tc>
          <w:tcPr>
            <w:tcW w:w="3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21346">
            <w:pPr>
              <w:keepNext w:val="0"/>
              <w:keepLines w:val="0"/>
              <w:widowControl/>
              <w:suppressLineNumbers w:val="0"/>
              <w:jc w:val="center"/>
              <w:rPr>
                <w:sz w:val="24"/>
                <w:szCs w:val="24"/>
              </w:rPr>
            </w:pPr>
            <w:r>
              <w:rPr>
                <w:rFonts w:ascii="宋体" w:hAnsi="宋体" w:eastAsia="宋体" w:cs="宋体"/>
                <w:kern w:val="0"/>
                <w:sz w:val="24"/>
                <w:szCs w:val="24"/>
                <w:lang w:val="en-US" w:eastAsia="zh-CN" w:bidi="ar"/>
              </w:rPr>
              <w:t>通过抬升方式，集中展示项目核心建筑本体。</w:t>
            </w:r>
            <w:r>
              <w:rPr>
                <w:rStyle w:val="10"/>
                <w:rFonts w:ascii="宋体" w:hAnsi="宋体" w:eastAsia="宋体" w:cs="宋体"/>
                <w:kern w:val="0"/>
                <w:sz w:val="24"/>
                <w:szCs w:val="24"/>
                <w:lang w:val="en-US" w:eastAsia="zh-CN" w:bidi="ar"/>
              </w:rPr>
              <w:t>小沙盘底盘与沙盘底座材质一致</w:t>
            </w:r>
            <w:r>
              <w:rPr>
                <w:rFonts w:ascii="宋体" w:hAnsi="宋体" w:eastAsia="宋体" w:cs="宋体"/>
                <w:kern w:val="0"/>
                <w:sz w:val="24"/>
                <w:szCs w:val="24"/>
                <w:lang w:val="en-US" w:eastAsia="zh-CN" w:bidi="ar"/>
              </w:rPr>
              <w:t>，确保整体感。</w:t>
            </w:r>
          </w:p>
        </w:tc>
      </w:tr>
    </w:tbl>
    <w:p w14:paraId="7F609A78">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注：区域模型（母沙盘）展示范围原则上以项目为核心向外延伸，覆盖拱北口岸、粤海东路、迎宾南路、情侣南路及港珠澳大桥珠海连接线沿线重要节点。</w:t>
      </w:r>
      <w:r>
        <w:rPr>
          <w:rFonts w:hint="eastAsia" w:asciiTheme="minorEastAsia" w:hAnsiTheme="minorEastAsia" w:eastAsiaTheme="minorEastAsia" w:cstheme="minorEastAsia"/>
          <w:color w:val="000000"/>
          <w:lang w:val="en-US" w:eastAsia="zh-CN"/>
        </w:rPr>
        <w:t>部分节点距离项目较远，如</w:t>
      </w:r>
      <w:r>
        <w:rPr>
          <w:rFonts w:hint="eastAsia" w:asciiTheme="minorEastAsia" w:hAnsiTheme="minorEastAsia" w:eastAsiaTheme="minorEastAsia" w:cstheme="minorEastAsia"/>
          <w:color w:val="000000"/>
        </w:rPr>
        <w:t>“港珠澳大桥人工岛”“</w:t>
      </w:r>
      <w:r>
        <w:rPr>
          <w:rFonts w:hint="eastAsia" w:asciiTheme="minorEastAsia" w:hAnsiTheme="minorEastAsia" w:eastAsiaTheme="minorEastAsia" w:cstheme="minorEastAsia"/>
          <w:color w:val="000000"/>
          <w:lang w:val="en-US" w:eastAsia="zh-CN"/>
        </w:rPr>
        <w:t>香港</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color w:val="000000"/>
          <w:lang w:val="en-US" w:eastAsia="zh-CN"/>
        </w:rPr>
        <w:t>等，</w:t>
      </w:r>
      <w:r>
        <w:rPr>
          <w:rFonts w:hint="eastAsia" w:asciiTheme="minorEastAsia" w:hAnsiTheme="minorEastAsia" w:eastAsiaTheme="minorEastAsia" w:cstheme="minorEastAsia"/>
          <w:color w:val="000000"/>
        </w:rPr>
        <w:t>超出母沙盘1:500等比展示范围，该节点采用非等比“远景示意”手法（微缩轮廓+透光标识）呈现，具体方案由乙方在深化设计阶段提出并经甲方确认。</w:t>
      </w:r>
    </w:p>
    <w:p w14:paraId="75DA2A8C">
      <w:pPr>
        <w:pStyle w:val="7"/>
        <w:widowControl/>
        <w:spacing w:beforeAutospacing="0" w:afterAutospacing="0" w:line="360" w:lineRule="auto"/>
        <w:rPr>
          <w:rFonts w:hint="default" w:asciiTheme="minorEastAsia" w:hAnsiTheme="minorEastAsia" w:eastAsiaTheme="minorEastAsia" w:cstheme="minorEastAsia"/>
          <w:color w:val="000000"/>
          <w:lang w:val="en-US" w:eastAsia="zh-CN"/>
        </w:rPr>
      </w:pPr>
      <w:r>
        <w:rPr>
          <w:rFonts w:hint="eastAsia" w:ascii="黑体" w:hAnsi="黑体" w:eastAsia="黑体" w:cs="黑体"/>
          <w:b/>
          <w:bCs/>
          <w:kern w:val="2"/>
          <w:sz w:val="32"/>
          <w:szCs w:val="32"/>
          <w:lang w:val="en-US" w:eastAsia="zh-CN" w:bidi="ar-SA"/>
        </w:rPr>
        <w:t>四、制作详细要求</w:t>
      </w:r>
    </w:p>
    <w:p w14:paraId="3BA6A1D2">
      <w:pPr>
        <w:pStyle w:val="7"/>
        <w:widowControl/>
        <w:numPr>
          <w:ilvl w:val="0"/>
          <w:numId w:val="0"/>
        </w:numPr>
        <w:spacing w:beforeAutospacing="0" w:afterAutospacing="0" w:line="360" w:lineRule="auto"/>
        <w:rPr>
          <w:rFonts w:hint="eastAsia"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1. 建筑表现</w:t>
      </w:r>
    </w:p>
    <w:p w14:paraId="5167FE30">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1）项目建筑：采用实体材质制作，真实表现项目外立面“现代滨海·坐山望海”的设计效果。外墙门窗采用质感真实通透的进口有机玻璃并加以艺术装饰；建筑立面玻璃及阳台栏杆采用光电水晶玻璃+汽车镀膜工艺展示幕墙效果，窗框分缝采用高分子ABS工程板精雕切割，或在玻璃上镭射激光切割作隐框展示，搭配内部层板吊顶灯光，整体泛光效果柔和、不刺眼。商业裙房内部家私根据业态分布图采用3D打印定制，按布局图制作室内餐厅桌椅、商铺陈列、货架等节点，后期描绘喷绘上色，营造热闹、绚丽多彩的商业氛围。</w:t>
      </w:r>
    </w:p>
    <w:p w14:paraId="36755DBF">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val="en-US" w:eastAsia="zh-CN"/>
        </w:rPr>
        <w:t>项目</w:t>
      </w:r>
      <w:r>
        <w:rPr>
          <w:rFonts w:hint="eastAsia" w:asciiTheme="minorEastAsia" w:hAnsiTheme="minorEastAsia" w:eastAsiaTheme="minorEastAsia" w:cstheme="minorEastAsia"/>
          <w:color w:val="000000"/>
        </w:rPr>
        <w:t>亮点展示：为体现项目“国际奢华酒店全服务资产”定位，沙盘须重点呈现以下内容：①26~38层朗廷酒店区域（含行政酒廊、泳池等）建议采用局部可透视/剖切处理或灯光点亮方式展示；②首层双大堂、三层约980㎡业主私享会所、空中餐厅等酒店共享配套需精细制作并标注；③住宅与酒店“同栋共生”的垂直业态关系，建议在讲解时通过分层灯光点亮逐层展示“1分钟垂直生活圈”动线。具体表现手法由乙方在深化方案中提出。</w:t>
      </w:r>
    </w:p>
    <w:p w14:paraId="65262EE2">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w:t>
      </w:r>
      <w:r>
        <w:rPr>
          <w:rFonts w:hint="eastAsia" w:asciiTheme="minorEastAsia" w:hAnsiTheme="minorEastAsia" w:eastAsiaTheme="minorEastAsia" w:cstheme="minorEastAsia"/>
          <w:color w:val="000000"/>
          <w:lang w:val="en-US" w:eastAsia="zh-CN"/>
        </w:rPr>
        <w:t>2）</w:t>
      </w:r>
      <w:r>
        <w:rPr>
          <w:rFonts w:hint="eastAsia" w:asciiTheme="minorEastAsia" w:hAnsiTheme="minorEastAsia" w:eastAsiaTheme="minorEastAsia" w:cstheme="minorEastAsia"/>
          <w:color w:val="000000"/>
        </w:rPr>
        <w:t>国际化酒店品牌展示：在建筑顶部或合适位置清晰标注“朗廷酒店”或“THE LANGHAM”标识，凸显项目酒店品牌赋能优势。</w:t>
      </w:r>
    </w:p>
    <w:p w14:paraId="4114C277">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w:t>
      </w:r>
      <w:r>
        <w:rPr>
          <w:rFonts w:hint="eastAsia" w:asciiTheme="minorEastAsia" w:hAnsiTheme="minorEastAsia" w:eastAsiaTheme="minorEastAsia" w:cstheme="minorEastAsia"/>
          <w:color w:val="000000"/>
          <w:lang w:val="en-US" w:eastAsia="zh-CN"/>
        </w:rPr>
        <w:t>3）</w:t>
      </w:r>
      <w:r>
        <w:rPr>
          <w:rFonts w:hint="eastAsia" w:asciiTheme="minorEastAsia" w:hAnsiTheme="minorEastAsia" w:eastAsiaTheme="minorEastAsia" w:cstheme="minorEastAsia"/>
          <w:color w:val="000000"/>
        </w:rPr>
        <w:t>灯光设计：建筑内部灯光需模拟真实入住场景，采用高质LED灯，冷色光源与暖色光源错落分布，营造温馨、奢华的生活氛围。酒店及商业部分灯光需更亮，体现繁华感。灯具应选用低压LED冷光源，色温冷暖可调，使用寿命不低于3万小时，便于后期更换维护。</w:t>
      </w:r>
    </w:p>
    <w:p w14:paraId="0560D370">
      <w:pPr>
        <w:pStyle w:val="7"/>
        <w:widowControl/>
        <w:numPr>
          <w:ilvl w:val="0"/>
          <w:numId w:val="0"/>
        </w:numPr>
        <w:spacing w:beforeAutospacing="0" w:afterAutospacing="0" w:line="360" w:lineRule="auto"/>
        <w:rPr>
          <w:rFonts w:hint="eastAsia"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2. 景观与绿化表现</w:t>
      </w:r>
    </w:p>
    <w:p w14:paraId="151EBFAE">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w:t>
      </w:r>
      <w:r>
        <w:rPr>
          <w:rFonts w:hint="eastAsia" w:asciiTheme="minorEastAsia" w:hAnsiTheme="minorEastAsia" w:eastAsiaTheme="minorEastAsia" w:cstheme="minorEastAsia"/>
          <w:color w:val="000000"/>
          <w:lang w:val="en-US" w:eastAsia="zh-CN"/>
        </w:rPr>
        <w:t>1）</w:t>
      </w:r>
      <w:r>
        <w:rPr>
          <w:rFonts w:hint="eastAsia" w:asciiTheme="minorEastAsia" w:hAnsiTheme="minorEastAsia" w:eastAsiaTheme="minorEastAsia" w:cstheme="minorEastAsia"/>
          <w:color w:val="000000"/>
        </w:rPr>
        <w:t>整体绿化：严格按照项目园林设计方案，采用“港式高定风格”制作，通过手工定制造型树木（灌木、乔木）营造五重绿化层次。水体与步道需结合自然，体现项目高端居住品质。</w:t>
      </w:r>
    </w:p>
    <w:p w14:paraId="17184FE6">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w:t>
      </w:r>
      <w:r>
        <w:rPr>
          <w:rFonts w:hint="eastAsia" w:asciiTheme="minorEastAsia" w:hAnsiTheme="minorEastAsia" w:eastAsiaTheme="minorEastAsia" w:cstheme="minorEastAsia"/>
          <w:color w:val="000000"/>
          <w:lang w:val="en-US" w:eastAsia="zh-CN"/>
        </w:rPr>
        <w:t>2）</w:t>
      </w:r>
      <w:r>
        <w:rPr>
          <w:rFonts w:hint="eastAsia" w:asciiTheme="minorEastAsia" w:hAnsiTheme="minorEastAsia" w:eastAsiaTheme="minorEastAsia" w:cstheme="minorEastAsia"/>
          <w:color w:val="000000"/>
        </w:rPr>
        <w:t>水系处理：项目周边海湾及内部水系采用玻璃材质制作，配合流动灯光，表现波光粼粼的动感，突出项目“东瞰无际海湾”的景观优势。</w:t>
      </w:r>
    </w:p>
    <w:p w14:paraId="0C2F3CEF">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w:t>
      </w:r>
      <w:r>
        <w:rPr>
          <w:rFonts w:hint="eastAsia" w:asciiTheme="minorEastAsia" w:hAnsiTheme="minorEastAsia" w:eastAsiaTheme="minorEastAsia" w:cstheme="minorEastAsia"/>
          <w:color w:val="000000"/>
          <w:lang w:val="en-US" w:eastAsia="zh-CN"/>
        </w:rPr>
        <w:t>3）</w:t>
      </w:r>
      <w:r>
        <w:rPr>
          <w:rFonts w:hint="eastAsia" w:asciiTheme="minorEastAsia" w:hAnsiTheme="minorEastAsia" w:eastAsiaTheme="minorEastAsia" w:cstheme="minorEastAsia"/>
          <w:color w:val="000000"/>
        </w:rPr>
        <w:t>建筑小品：在核心景观节点，配置休闲座椅、现代雕塑、太阳伞等精致小品。</w:t>
      </w:r>
    </w:p>
    <w:p w14:paraId="71FB2F36">
      <w:pPr>
        <w:pStyle w:val="7"/>
        <w:widowControl/>
        <w:numPr>
          <w:ilvl w:val="0"/>
          <w:numId w:val="0"/>
        </w:numPr>
        <w:spacing w:beforeAutospacing="0" w:afterAutospacing="0" w:line="360" w:lineRule="auto"/>
        <w:rPr>
          <w:rFonts w:hint="eastAsia" w:asciiTheme="minorEastAsia" w:hAnsiTheme="minorEastAsia" w:eastAsiaTheme="minorEastAsia" w:cstheme="minorEastAsia"/>
          <w:b/>
          <w:bCs/>
          <w:color w:val="000000"/>
          <w:lang w:eastAsia="zh-CN"/>
        </w:rPr>
      </w:pPr>
      <w:r>
        <w:rPr>
          <w:rFonts w:hint="eastAsia" w:asciiTheme="minorEastAsia" w:hAnsiTheme="minorEastAsia" w:eastAsiaTheme="minorEastAsia" w:cstheme="minorEastAsia"/>
          <w:b/>
          <w:bCs/>
          <w:color w:val="000000"/>
        </w:rPr>
        <w:t>3. 区域与周边配套表现</w:t>
      </w:r>
    </w:p>
    <w:p w14:paraId="39EE4975">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val="en-US" w:eastAsia="zh-CN"/>
        </w:rPr>
        <w:t>（1）核心区位：必须将“拱北口岸”“港珠澳大桥人工岛”等重要口岸及交通枢纽予以重点呈现，采取实体模型的方式进行呈现，突出项目不可复制的“港珠澳桥头堡”区位优势。其中“港珠澳大桥人工岛”因超出等比展示范围，采用非等比“远景示意”手法呈现。</w:t>
      </w:r>
    </w:p>
    <w:p w14:paraId="4B10FD27">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w:t>
      </w:r>
      <w:r>
        <w:rPr>
          <w:rFonts w:hint="eastAsia" w:asciiTheme="minorEastAsia" w:hAnsiTheme="minorEastAsia" w:eastAsiaTheme="minorEastAsia" w:cstheme="minorEastAsia"/>
          <w:color w:val="000000"/>
          <w:lang w:val="en-US" w:eastAsia="zh-CN"/>
        </w:rPr>
        <w:t>2）</w:t>
      </w:r>
      <w:r>
        <w:rPr>
          <w:rFonts w:hint="eastAsia" w:asciiTheme="minorEastAsia" w:hAnsiTheme="minorEastAsia" w:eastAsiaTheme="minorEastAsia" w:cstheme="minorEastAsia"/>
          <w:color w:val="000000"/>
        </w:rPr>
        <w:t>商业与地标：项目周边的“华融时代广场</w:t>
      </w:r>
      <w:r>
        <w:rPr>
          <w:rFonts w:hint="eastAsia" w:asciiTheme="minorEastAsia" w:hAnsiTheme="minorEastAsia" w:eastAsiaTheme="minorEastAsia" w:cstheme="minorEastAsia"/>
          <w:color w:val="000000"/>
          <w:lang w:eastAsia="zh-CN"/>
        </w:rPr>
        <w:t>”“</w:t>
      </w:r>
      <w:r>
        <w:rPr>
          <w:rFonts w:hint="eastAsia" w:asciiTheme="minorEastAsia" w:hAnsiTheme="minorEastAsia" w:eastAsiaTheme="minorEastAsia" w:cstheme="minorEastAsia"/>
          <w:color w:val="000000"/>
        </w:rPr>
        <w:t>银都酒店</w:t>
      </w:r>
      <w:r>
        <w:rPr>
          <w:rFonts w:hint="eastAsia" w:asciiTheme="minorEastAsia" w:hAnsiTheme="minorEastAsia" w:eastAsiaTheme="minorEastAsia" w:cstheme="minorEastAsia"/>
          <w:color w:val="000000"/>
          <w:lang w:eastAsia="zh-CN"/>
        </w:rPr>
        <w:t>”“</w:t>
      </w:r>
      <w:r>
        <w:rPr>
          <w:rFonts w:hint="eastAsia" w:asciiTheme="minorEastAsia" w:hAnsiTheme="minorEastAsia" w:eastAsiaTheme="minorEastAsia" w:cstheme="minorEastAsia"/>
          <w:color w:val="000000"/>
        </w:rPr>
        <w:t>将军山公园”等核心商业</w:t>
      </w:r>
      <w:r>
        <w:rPr>
          <w:rFonts w:hint="eastAsia" w:asciiTheme="minorEastAsia" w:hAnsiTheme="minorEastAsia" w:eastAsiaTheme="minorEastAsia" w:cstheme="minorEastAsia"/>
          <w:color w:val="000000"/>
          <w:lang w:eastAsia="zh-CN"/>
        </w:rPr>
        <w:t>、</w:t>
      </w:r>
      <w:r>
        <w:rPr>
          <w:rFonts w:hint="eastAsia" w:asciiTheme="minorEastAsia" w:hAnsiTheme="minorEastAsia" w:eastAsiaTheme="minorEastAsia" w:cstheme="minorEastAsia"/>
          <w:color w:val="000000"/>
        </w:rPr>
        <w:t>地标建筑</w:t>
      </w:r>
      <w:r>
        <w:rPr>
          <w:rFonts w:hint="eastAsia" w:asciiTheme="minorEastAsia" w:hAnsiTheme="minorEastAsia" w:eastAsiaTheme="minorEastAsia" w:cstheme="minorEastAsia"/>
          <w:color w:val="000000"/>
          <w:lang w:val="en-US" w:eastAsia="zh-CN"/>
        </w:rPr>
        <w:t>及景观</w:t>
      </w:r>
      <w:r>
        <w:rPr>
          <w:rFonts w:hint="eastAsia" w:asciiTheme="minorEastAsia" w:hAnsiTheme="minorEastAsia" w:eastAsiaTheme="minorEastAsia" w:cstheme="minorEastAsia"/>
          <w:color w:val="000000"/>
        </w:rPr>
        <w:t>也需采用实体材质呈现，确保区域模型的真实感与参考价值。</w:t>
      </w:r>
    </w:p>
    <w:p w14:paraId="3575D559">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w:t>
      </w:r>
      <w:r>
        <w:rPr>
          <w:rFonts w:hint="eastAsia" w:asciiTheme="minorEastAsia" w:hAnsiTheme="minorEastAsia" w:eastAsiaTheme="minorEastAsia" w:cstheme="minorEastAsia"/>
          <w:color w:val="000000"/>
          <w:lang w:val="en-US" w:eastAsia="zh-CN"/>
        </w:rPr>
        <w:t>3）</w:t>
      </w:r>
      <w:r>
        <w:rPr>
          <w:rFonts w:hint="eastAsia" w:asciiTheme="minorEastAsia" w:hAnsiTheme="minorEastAsia" w:eastAsiaTheme="minorEastAsia" w:cstheme="minorEastAsia"/>
          <w:color w:val="000000"/>
        </w:rPr>
        <w:t>路网与交通：主要交通干道（迎宾南路、粤海东路、情侣南路</w:t>
      </w:r>
      <w:r>
        <w:rPr>
          <w:rFonts w:hint="eastAsia" w:asciiTheme="minorEastAsia" w:hAnsiTheme="minorEastAsia" w:eastAsiaTheme="minorEastAsia" w:cstheme="minorEastAsia"/>
          <w:color w:val="000000"/>
          <w:lang w:val="en-US" w:eastAsia="zh-CN"/>
        </w:rPr>
        <w:t>等</w:t>
      </w:r>
      <w:r>
        <w:rPr>
          <w:rFonts w:hint="eastAsia" w:asciiTheme="minorEastAsia" w:hAnsiTheme="minorEastAsia" w:eastAsiaTheme="minorEastAsia" w:cstheme="minorEastAsia"/>
          <w:color w:val="000000"/>
        </w:rPr>
        <w:t>）采用灯光面路网，配以不锈钢材质精细制作车行线、路灯及斑马线，真实再现项目周边便捷的交通网络。港珠澳大桥珠海连接线及拱北口岸通关动线建议以透光线条或动态灯光示意，直观传达“距拱北口岸1.2公里、直达港珠澳大桥”的区位优势。</w:t>
      </w:r>
    </w:p>
    <w:p w14:paraId="172BA4A0">
      <w:pPr>
        <w:pStyle w:val="7"/>
        <w:widowControl/>
        <w:numPr>
          <w:ilvl w:val="0"/>
          <w:numId w:val="0"/>
        </w:numPr>
        <w:spacing w:beforeAutospacing="0" w:afterAutospacing="0" w:line="360" w:lineRule="auto"/>
        <w:rPr>
          <w:rFonts w:hint="default"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eastAsia="zh-CN"/>
        </w:rPr>
        <w:t>（</w:t>
      </w:r>
      <w:r>
        <w:rPr>
          <w:rFonts w:hint="eastAsia" w:asciiTheme="minorEastAsia" w:hAnsiTheme="minorEastAsia" w:eastAsiaTheme="minorEastAsia" w:cstheme="minorEastAsia"/>
          <w:color w:val="000000"/>
          <w:lang w:val="en-US" w:eastAsia="zh-CN"/>
        </w:rPr>
        <w:t>4）其他非重点建筑：可采用水晶体或其他表现手法，展现城市整体风貌。</w:t>
      </w:r>
    </w:p>
    <w:p w14:paraId="118AED8B">
      <w:pPr>
        <w:pStyle w:val="7"/>
        <w:widowControl/>
        <w:numPr>
          <w:ilvl w:val="0"/>
          <w:numId w:val="0"/>
        </w:numPr>
        <w:spacing w:beforeAutospacing="0" w:afterAutospacing="0" w:line="360" w:lineRule="auto"/>
        <w:rPr>
          <w:rFonts w:hint="eastAsia"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4. 灯光与控制系统</w:t>
      </w:r>
    </w:p>
    <w:p w14:paraId="4B1416E0">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（1）灯光分区与智能控制：灯光控制需按母沙盘（建筑灯光、路网灯光、景观灯光）、子沙盘分别独立控制</w:t>
      </w:r>
      <w:r>
        <w:rPr>
          <w:rFonts w:hint="eastAsia" w:asciiTheme="minorEastAsia" w:hAnsiTheme="minorEastAsia" w:eastAsiaTheme="minorEastAsia" w:cstheme="minorEastAsia"/>
          <w:color w:val="000000"/>
          <w:lang w:val="en-US" w:eastAsia="zh-CN"/>
        </w:rPr>
        <w:t>或以场景协同控制</w:t>
      </w:r>
      <w:r>
        <w:rPr>
          <w:rFonts w:hint="eastAsia" w:asciiTheme="minorEastAsia" w:hAnsiTheme="minorEastAsia" w:eastAsiaTheme="minorEastAsia" w:cstheme="minorEastAsia"/>
          <w:color w:val="000000"/>
        </w:rPr>
        <w:t>，采用可编程灯光控制协议，支持分组交错、延时熄灭的动态效果，预设日景、夜景、讲解、节日等多套场景模式，可通过平板电脑或中控一键切换，模拟生动的城市与生活场景。</w:t>
      </w:r>
    </w:p>
    <w:p w14:paraId="27C79DF2">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w:t>
      </w:r>
      <w:r>
        <w:rPr>
          <w:rFonts w:hint="eastAsia" w:asciiTheme="minorEastAsia" w:hAnsiTheme="minorEastAsia" w:eastAsiaTheme="minorEastAsia" w:cstheme="minorEastAsia"/>
          <w:color w:val="000000"/>
          <w:lang w:val="en-US" w:eastAsia="zh-CN"/>
        </w:rPr>
        <w:t>2）</w:t>
      </w:r>
      <w:r>
        <w:rPr>
          <w:rFonts w:hint="eastAsia" w:asciiTheme="minorEastAsia" w:hAnsiTheme="minorEastAsia" w:eastAsiaTheme="minorEastAsia" w:cstheme="minorEastAsia"/>
          <w:color w:val="000000"/>
        </w:rPr>
        <w:t>环境灯光：道路采用冷色光源高杆路灯，景观区采用大小、亮度、冷暖不同的景观灯与庭院灯，商业部分内部需制作高亮暖光，表达繁华的商业情景。</w:t>
      </w:r>
    </w:p>
    <w:p w14:paraId="79F8002D">
      <w:pPr>
        <w:pStyle w:val="7"/>
        <w:widowControl/>
        <w:numPr>
          <w:ilvl w:val="0"/>
          <w:numId w:val="0"/>
        </w:numPr>
        <w:spacing w:beforeAutospacing="0" w:afterAutospacing="0" w:line="360" w:lineRule="auto"/>
        <w:rPr>
          <w:rFonts w:hint="default"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rPr>
        <w:t>（3）项目本体灯光：作为综合体项目，灯光效果是影响客户感受的重要因素，需结合相关图纸，以多种方式打造楼体灯光体系（包括亮度、动态灯光），体现项目高端定位。建议设置“业态分层点亮”功能，配合讲解逐层展示商业（1~3</w:t>
      </w:r>
      <w:r>
        <w:rPr>
          <w:rFonts w:hint="eastAsia" w:asciiTheme="minorEastAsia" w:hAnsiTheme="minorEastAsia" w:eastAsiaTheme="minorEastAsia" w:cstheme="minorEastAsia"/>
          <w:color w:val="000000"/>
          <w:lang w:val="en-US" w:eastAsia="zh-CN"/>
        </w:rPr>
        <w:t xml:space="preserve"> </w:t>
      </w:r>
      <w:r>
        <w:rPr>
          <w:rFonts w:hint="eastAsia" w:asciiTheme="minorEastAsia" w:hAnsiTheme="minorEastAsia" w:eastAsiaTheme="minorEastAsia" w:cstheme="minorEastAsia"/>
          <w:color w:val="000000"/>
        </w:rPr>
        <w:t>层）、住宅（4~24层）、酒店（26~38层）的垂直业态结构，强化“同栋共生”的展示效果。</w:t>
      </w:r>
    </w:p>
    <w:p w14:paraId="5F813D0D">
      <w:pPr>
        <w:pStyle w:val="7"/>
        <w:widowControl/>
        <w:numPr>
          <w:ilvl w:val="0"/>
          <w:numId w:val="0"/>
        </w:numPr>
        <w:spacing w:beforeAutospacing="0" w:afterAutospacing="0" w:line="360" w:lineRule="auto"/>
        <w:rPr>
          <w:rFonts w:hint="eastAsia"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5. 其他要求</w:t>
      </w:r>
    </w:p>
    <w:p w14:paraId="7B8FF177">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底座设计：</w:t>
      </w:r>
      <w:r>
        <w:rPr>
          <w:rFonts w:hint="eastAsia" w:asciiTheme="minorEastAsia" w:hAnsiTheme="minorEastAsia" w:eastAsiaTheme="minorEastAsia" w:cstheme="minorEastAsia"/>
          <w:color w:val="000000"/>
          <w:lang w:val="en-US" w:eastAsia="zh-CN"/>
        </w:rPr>
        <w:t>子</w:t>
      </w:r>
      <w:r>
        <w:rPr>
          <w:rFonts w:hint="eastAsia" w:asciiTheme="minorEastAsia" w:hAnsiTheme="minorEastAsia" w:eastAsiaTheme="minorEastAsia" w:cstheme="minorEastAsia"/>
          <w:color w:val="000000"/>
        </w:rPr>
        <w:t>沙盘底座需与沙盘整体风格协调，内置电路系统，确保稳定与美观。底座须设置检修口、散热及防潮措施，电路采用模块化即插即用接口，便于检修与升级；母沙盘底座由甲方制作，乙方须在深化设计阶段提供底座结构图、承重及电路接口要求，并配合现场安装调试。</w:t>
      </w:r>
    </w:p>
    <w:p w14:paraId="3F98F22B">
      <w:pPr>
        <w:pStyle w:val="7"/>
        <w:widowControl/>
        <w:numPr>
          <w:ilvl w:val="0"/>
          <w:numId w:val="0"/>
        </w:numPr>
        <w:spacing w:beforeAutospacing="0" w:afterAutospacing="0" w:line="360" w:lineRule="auto"/>
      </w:pPr>
      <w:r>
        <w:rPr>
          <w:rFonts w:hint="eastAsia" w:asciiTheme="minorEastAsia" w:hAnsiTheme="minorEastAsia" w:eastAsiaTheme="minorEastAsia" w:cstheme="minorEastAsia"/>
          <w:color w:val="000000"/>
        </w:rPr>
        <w:t>注</w:t>
      </w:r>
      <w:r>
        <w:rPr>
          <w:rFonts w:hint="eastAsia" w:asciiTheme="minorEastAsia" w:hAnsiTheme="minorEastAsia" w:eastAsiaTheme="minorEastAsia" w:cstheme="minorEastAsia"/>
          <w:color w:val="000000"/>
          <w:lang w:eastAsia="zh-CN"/>
        </w:rPr>
        <w:t>：</w:t>
      </w:r>
      <w:r>
        <w:rPr>
          <w:rFonts w:hint="eastAsia" w:asciiTheme="minorEastAsia" w:hAnsiTheme="minorEastAsia" w:eastAsiaTheme="minorEastAsia" w:cstheme="minorEastAsia"/>
          <w:color w:val="000000"/>
        </w:rPr>
        <w:t>以上为我方建议模型</w:t>
      </w:r>
      <w:r>
        <w:rPr>
          <w:rFonts w:asciiTheme="minorEastAsia" w:hAnsiTheme="minorEastAsia" w:eastAsiaTheme="minorEastAsia" w:cstheme="minorEastAsia"/>
          <w:color w:val="000000"/>
        </w:rPr>
        <w:t>设计制作要求，制作方案包括但不限于以上设计制作要求，具体由模型制作公司结合我司现场以及项目规划设计方案确定</w:t>
      </w:r>
      <w:r>
        <w:rPr>
          <w:rFonts w:hint="eastAsia" w:asciiTheme="minorEastAsia" w:hAnsiTheme="minorEastAsia" w:eastAsiaTheme="minorEastAsia" w:cstheme="minorEastAsia"/>
          <w:color w:val="000000"/>
          <w:lang w:eastAsia="zh-CN"/>
        </w:rPr>
        <w:t>。</w:t>
      </w:r>
    </w:p>
    <w:p w14:paraId="2E0E798C">
      <w:pPr>
        <w:pStyle w:val="7"/>
        <w:widowControl/>
        <w:spacing w:beforeAutospacing="0" w:afterAutospacing="0" w:line="360" w:lineRule="auto"/>
        <w:rPr>
          <w:rFonts w:hint="eastAsia" w:asciiTheme="minorEastAsia" w:hAnsiTheme="minorEastAsia" w:eastAsiaTheme="minorEastAsia" w:cstheme="minorEastAsia"/>
          <w:b/>
          <w:bCs/>
          <w:color w:val="000000"/>
          <w:sz w:val="32"/>
          <w:szCs w:val="32"/>
          <w:highlight w:val="none"/>
          <w:lang w:val="en-US" w:eastAsia="zh-CN"/>
        </w:rPr>
      </w:pPr>
    </w:p>
    <w:p w14:paraId="24F17691">
      <w:pPr>
        <w:pStyle w:val="7"/>
        <w:widowControl/>
        <w:spacing w:beforeAutospacing="0" w:afterAutospacing="0" w:line="360" w:lineRule="auto"/>
        <w:rPr>
          <w:rFonts w:hint="eastAsia" w:ascii="黑体" w:hAnsi="黑体" w:eastAsia="黑体" w:cs="黑体"/>
          <w:b/>
          <w:bCs/>
          <w:kern w:val="2"/>
          <w:sz w:val="32"/>
          <w:szCs w:val="32"/>
          <w:lang w:val="en-US" w:eastAsia="zh-CN" w:bidi="ar-SA"/>
        </w:rPr>
      </w:pPr>
      <w:r>
        <w:rPr>
          <w:rFonts w:hint="eastAsia" w:ascii="黑体" w:hAnsi="黑体" w:eastAsia="黑体" w:cs="黑体"/>
          <w:b/>
          <w:bCs/>
          <w:kern w:val="2"/>
          <w:sz w:val="32"/>
          <w:szCs w:val="32"/>
          <w:lang w:val="en-US" w:eastAsia="zh-CN" w:bidi="ar-SA"/>
        </w:rPr>
        <w:t>五、质保与售后服务</w:t>
      </w:r>
    </w:p>
    <w:p w14:paraId="206B44B7">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val="en-US" w:eastAsia="zh-CN"/>
        </w:rPr>
        <w:t>1.</w:t>
      </w:r>
      <w:r>
        <w:rPr>
          <w:rFonts w:hint="eastAsia" w:asciiTheme="minorEastAsia" w:hAnsiTheme="minorEastAsia" w:eastAsiaTheme="minorEastAsia" w:cstheme="minorEastAsia"/>
          <w:color w:val="000000"/>
        </w:rPr>
        <w:t>质保与维护</w:t>
      </w:r>
    </w:p>
    <w:p w14:paraId="0B411E68">
      <w:pPr>
        <w:pStyle w:val="7"/>
        <w:widowControl/>
        <w:numPr>
          <w:ilvl w:val="0"/>
          <w:numId w:val="0"/>
        </w:numPr>
        <w:spacing w:beforeAutospacing="0" w:afterAutospacing="0" w:line="360" w:lineRule="auto"/>
        <w:rPr>
          <w:rFonts w:hint="default"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rPr>
        <w:t>乙方需提供至少一年的免费质保服务及终生保养服务。每季度定时上门进行清洁维护（包括建筑物黏合剂检查、除尘、灯管灯泡检查更换、道路与树种维护等）。接到甲方报修通知后，乙方应在24小时内响应、48小时内到场处理。</w:t>
      </w:r>
      <w:r>
        <w:rPr>
          <w:rFonts w:hint="eastAsia" w:asciiTheme="minorEastAsia" w:hAnsiTheme="minorEastAsia" w:eastAsiaTheme="minorEastAsia" w:cstheme="minorEastAsia"/>
          <w:color w:val="000000"/>
          <w:lang w:val="en-US" w:eastAsia="zh-CN"/>
        </w:rPr>
        <w:t>所有费用均由乙方承担，包含人工/差旅等所有费用，质保范围内甲方不在支付费用。</w:t>
      </w:r>
    </w:p>
    <w:p w14:paraId="5C5726C3">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val="en-US" w:eastAsia="zh-CN"/>
        </w:rPr>
        <w:t>2.</w:t>
      </w:r>
      <w:r>
        <w:rPr>
          <w:rFonts w:hint="eastAsia" w:asciiTheme="minorEastAsia" w:hAnsiTheme="minorEastAsia" w:eastAsiaTheme="minorEastAsia" w:cstheme="minorEastAsia"/>
          <w:color w:val="000000"/>
        </w:rPr>
        <w:t>售后服务</w:t>
      </w:r>
    </w:p>
    <w:p w14:paraId="5D210CAE">
      <w:pPr>
        <w:pStyle w:val="7"/>
        <w:widowControl/>
        <w:numPr>
          <w:ilvl w:val="0"/>
          <w:numId w:val="0"/>
        </w:numPr>
        <w:spacing w:beforeAutospacing="0" w:afterAutospacing="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val="en-US" w:eastAsia="zh-CN"/>
        </w:rPr>
        <w:t>（1）</w:t>
      </w:r>
      <w:r>
        <w:rPr>
          <w:rFonts w:hint="eastAsia" w:asciiTheme="minorEastAsia" w:hAnsiTheme="minorEastAsia" w:eastAsiaTheme="minorEastAsia" w:cstheme="minorEastAsia"/>
          <w:color w:val="000000"/>
        </w:rPr>
        <w:t>模型非人为损坏的，乙方需无条件免费维修。交付时应附送常用易损备件（灯管、灯泡等）一套，并随模型提供操作手册与电路图。</w:t>
      </w:r>
    </w:p>
    <w:p w14:paraId="14ADCD0F">
      <w:pPr>
        <w:pStyle w:val="7"/>
        <w:widowControl/>
        <w:numPr>
          <w:ilvl w:val="0"/>
          <w:numId w:val="0"/>
        </w:numPr>
        <w:spacing w:beforeAutospacing="0" w:afterAutospacing="0" w:line="360" w:lineRule="auto"/>
        <w:rPr>
          <w:rFonts w:hint="default"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val="en-US" w:eastAsia="zh-CN"/>
        </w:rPr>
        <w:t>（2）</w:t>
      </w:r>
      <w:r>
        <w:rPr>
          <w:rFonts w:hint="eastAsia" w:asciiTheme="minorEastAsia" w:hAnsiTheme="minorEastAsia" w:eastAsiaTheme="minorEastAsia" w:cstheme="minorEastAsia"/>
          <w:color w:val="000000"/>
        </w:rPr>
        <w:t>培训服务：模型安装完成后，乙方需在现场对甲方人员进行模型日常养护方法及灯光使用方法的培训。</w:t>
      </w:r>
    </w:p>
    <w:p w14:paraId="52652609">
      <w:pPr>
        <w:pStyle w:val="7"/>
        <w:widowControl/>
        <w:spacing w:beforeAutospacing="0" w:afterAutospacing="0" w:line="360" w:lineRule="auto"/>
        <w:rPr>
          <w:rFonts w:asciiTheme="minorEastAsia" w:hAnsiTheme="minorEastAsia" w:eastAsiaTheme="minorEastAsia" w:cstheme="minorEastAsia"/>
          <w:color w:val="000000"/>
        </w:rPr>
      </w:pPr>
    </w:p>
    <w:p w14:paraId="01EB7DE1">
      <w:pPr>
        <w:pStyle w:val="7"/>
        <w:widowControl/>
        <w:spacing w:beforeAutospacing="0" w:afterAutospacing="0" w:line="360" w:lineRule="auto"/>
        <w:rPr>
          <w:rFonts w:hint="eastAsia" w:ascii="黑体" w:hAnsi="黑体" w:eastAsia="黑体" w:cs="黑体"/>
          <w:b/>
          <w:bCs/>
          <w:kern w:val="2"/>
          <w:sz w:val="32"/>
          <w:szCs w:val="32"/>
          <w:lang w:val="en-US" w:eastAsia="zh-CN" w:bidi="ar-SA"/>
        </w:rPr>
      </w:pPr>
      <w:r>
        <w:rPr>
          <w:rFonts w:hint="eastAsia" w:ascii="黑体" w:hAnsi="黑体" w:eastAsia="黑体" w:cs="黑体"/>
          <w:b/>
          <w:bCs/>
          <w:kern w:val="2"/>
          <w:sz w:val="32"/>
          <w:szCs w:val="32"/>
          <w:lang w:val="en-US" w:eastAsia="zh-CN" w:bidi="ar-SA"/>
        </w:rPr>
        <w:t>六、投标人资质与业绩要求</w:t>
      </w:r>
    </w:p>
    <w:p w14:paraId="41DC01BC">
      <w:pPr>
        <w:pStyle w:val="7"/>
        <w:widowControl/>
        <w:spacing w:beforeAutospacing="0" w:afterAutospacing="0" w:line="360" w:lineRule="auto"/>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w:t>
      </w:r>
      <w:r>
        <w:rPr>
          <w:rFonts w:asciiTheme="minorEastAsia" w:hAnsiTheme="minorEastAsia" w:eastAsiaTheme="minorEastAsia" w:cstheme="minorEastAsia"/>
          <w:color w:val="000000"/>
        </w:rPr>
        <w:t>1</w:t>
      </w:r>
      <w:r>
        <w:rPr>
          <w:rFonts w:hint="eastAsia" w:asciiTheme="minorEastAsia" w:hAnsiTheme="minorEastAsia" w:eastAsiaTheme="minorEastAsia" w:cstheme="minorEastAsia"/>
          <w:color w:val="000000"/>
          <w:lang w:eastAsia="zh-CN"/>
        </w:rPr>
        <w:t>)在</w:t>
      </w:r>
      <w:r>
        <w:rPr>
          <w:rFonts w:asciiTheme="minorEastAsia" w:hAnsiTheme="minorEastAsia" w:eastAsiaTheme="minorEastAsia" w:cstheme="minorEastAsia"/>
          <w:color w:val="000000"/>
        </w:rPr>
        <w:t>中国境内</w:t>
      </w:r>
      <w:r>
        <w:rPr>
          <w:rFonts w:hint="eastAsia" w:asciiTheme="minorEastAsia" w:hAnsiTheme="minorEastAsia" w:eastAsiaTheme="minorEastAsia" w:cstheme="minorEastAsia"/>
          <w:color w:val="000000"/>
          <w:lang w:eastAsia="zh-CN"/>
        </w:rPr>
        <w:t>依据《中华人民共和国</w:t>
      </w:r>
      <w:r>
        <w:rPr>
          <w:rFonts w:asciiTheme="minorEastAsia" w:hAnsiTheme="minorEastAsia" w:eastAsiaTheme="minorEastAsia" w:cstheme="minorEastAsia"/>
          <w:color w:val="000000"/>
        </w:rPr>
        <w:t>公司法》注册的独立法人，能够独立承担民事责任，具备提供标的物能力的单位</w:t>
      </w:r>
      <w:r>
        <w:rPr>
          <w:rFonts w:hint="eastAsia" w:asciiTheme="minorEastAsia" w:hAnsiTheme="minorEastAsia" w:eastAsiaTheme="minorEastAsia" w:cstheme="minorEastAsia"/>
          <w:color w:val="000000"/>
          <w:lang w:eastAsia="zh-CN"/>
        </w:rPr>
        <w:t>；</w:t>
      </w:r>
    </w:p>
    <w:p w14:paraId="688CD75A">
      <w:pPr>
        <w:pStyle w:val="7"/>
        <w:widowControl/>
        <w:spacing w:beforeAutospacing="0" w:afterAutospacing="0" w:line="360" w:lineRule="auto"/>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（2）</w:t>
      </w:r>
      <w:r>
        <w:rPr>
          <w:rFonts w:asciiTheme="minorEastAsia" w:hAnsiTheme="minorEastAsia" w:eastAsiaTheme="minorEastAsia" w:cstheme="minorEastAsia"/>
          <w:color w:val="000000"/>
        </w:rPr>
        <w:t>公司资质要求</w:t>
      </w:r>
      <w:r>
        <w:rPr>
          <w:rFonts w:hint="eastAsia" w:asciiTheme="minorEastAsia" w:hAnsiTheme="minorEastAsia" w:eastAsiaTheme="minorEastAsia" w:cstheme="minorEastAsia"/>
          <w:color w:val="000000"/>
          <w:lang w:eastAsia="zh-CN"/>
        </w:rPr>
        <w:t>：</w:t>
      </w:r>
      <w:r>
        <w:rPr>
          <w:rFonts w:asciiTheme="minorEastAsia" w:hAnsiTheme="minorEastAsia" w:eastAsiaTheme="minorEastAsia" w:cstheme="minorEastAsia"/>
          <w:color w:val="000000"/>
        </w:rPr>
        <w:t>经营范围包含建筑模型设计、模型制作生产等</w:t>
      </w:r>
      <w:r>
        <w:rPr>
          <w:rFonts w:hint="eastAsia" w:asciiTheme="minorEastAsia" w:hAnsiTheme="minorEastAsia" w:eastAsiaTheme="minorEastAsia" w:cstheme="minorEastAsia"/>
          <w:color w:val="000000"/>
          <w:lang w:eastAsia="zh-CN"/>
        </w:rPr>
        <w:t>：</w:t>
      </w:r>
    </w:p>
    <w:p w14:paraId="02B8E7BB">
      <w:pPr>
        <w:pStyle w:val="7"/>
        <w:widowControl/>
        <w:spacing w:beforeAutospacing="0" w:afterAutospacing="0" w:line="360" w:lineRule="auto"/>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（3）</w:t>
      </w:r>
      <w:r>
        <w:rPr>
          <w:rFonts w:asciiTheme="minorEastAsia" w:hAnsiTheme="minorEastAsia" w:eastAsiaTheme="minorEastAsia" w:cstheme="minorEastAsia"/>
          <w:color w:val="000000"/>
        </w:rPr>
        <w:t>对设计、制作及生产高品质模型有丰富经验积累</w:t>
      </w:r>
      <w:r>
        <w:rPr>
          <w:rFonts w:hint="eastAsia" w:asciiTheme="minorEastAsia" w:hAnsiTheme="minorEastAsia" w:eastAsiaTheme="minorEastAsia" w:cstheme="minorEastAsia"/>
          <w:color w:val="000000"/>
          <w:lang w:eastAsia="zh-CN"/>
        </w:rPr>
        <w:t>；</w:t>
      </w:r>
    </w:p>
    <w:p w14:paraId="135CDBB1">
      <w:pPr>
        <w:pStyle w:val="7"/>
        <w:widowControl/>
        <w:spacing w:beforeAutospacing="0" w:afterAutospacing="0" w:line="360" w:lineRule="auto"/>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（4）</w:t>
      </w:r>
      <w:r>
        <w:rPr>
          <w:rFonts w:asciiTheme="minorEastAsia" w:hAnsiTheme="minorEastAsia" w:eastAsiaTheme="minorEastAsia" w:cstheme="minorEastAsia"/>
          <w:color w:val="000000"/>
        </w:rPr>
        <w:t>具备纳税资格并承诺能提供有效的增值税专用发票</w:t>
      </w:r>
      <w:r>
        <w:rPr>
          <w:rFonts w:hint="eastAsia" w:asciiTheme="minorEastAsia" w:hAnsiTheme="minorEastAsia" w:eastAsiaTheme="minorEastAsia" w:cstheme="minorEastAsia"/>
          <w:color w:val="000000"/>
          <w:lang w:eastAsia="zh-CN"/>
        </w:rPr>
        <w:t>；</w:t>
      </w:r>
    </w:p>
    <w:p w14:paraId="18CDFCFB">
      <w:pPr>
        <w:pStyle w:val="7"/>
        <w:widowControl/>
        <w:spacing w:beforeAutospacing="0" w:afterAutospacing="0" w:line="360" w:lineRule="auto"/>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（5）</w:t>
      </w:r>
      <w:r>
        <w:rPr>
          <w:rFonts w:asciiTheme="minorEastAsia" w:hAnsiTheme="minorEastAsia" w:eastAsiaTheme="minorEastAsia" w:cstheme="minorEastAsia"/>
          <w:color w:val="000000"/>
        </w:rPr>
        <w:t>最近三年在经营活动中没有重大违法、违规行为</w:t>
      </w:r>
      <w:r>
        <w:rPr>
          <w:rFonts w:hint="eastAsia" w:asciiTheme="minorEastAsia" w:hAnsiTheme="minorEastAsia" w:eastAsiaTheme="minorEastAsia" w:cstheme="minorEastAsia"/>
          <w:color w:val="000000"/>
          <w:lang w:eastAsia="zh-CN"/>
        </w:rPr>
        <w:t>；</w:t>
      </w:r>
    </w:p>
    <w:p w14:paraId="638EFC47">
      <w:pPr>
        <w:pStyle w:val="7"/>
        <w:widowControl/>
        <w:spacing w:beforeAutospacing="0" w:afterAutospacing="0" w:line="360" w:lineRule="auto"/>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（6）</w:t>
      </w:r>
      <w:r>
        <w:rPr>
          <w:rFonts w:asciiTheme="minorEastAsia" w:hAnsiTheme="minorEastAsia" w:eastAsiaTheme="minorEastAsia" w:cstheme="minorEastAsia"/>
          <w:color w:val="000000"/>
        </w:rPr>
        <w:t>近三年（2023年至今）具有至少3个</w:t>
      </w:r>
      <w:r>
        <w:rPr>
          <w:rFonts w:hint="eastAsia" w:asciiTheme="minorEastAsia" w:hAnsiTheme="minorEastAsia" w:eastAsiaTheme="minorEastAsia" w:cstheme="minorEastAsia"/>
          <w:color w:val="000000"/>
          <w:lang w:val="en-US" w:eastAsia="zh-CN"/>
        </w:rPr>
        <w:t>房地产</w:t>
      </w:r>
      <w:r>
        <w:rPr>
          <w:rFonts w:asciiTheme="minorEastAsia" w:hAnsiTheme="minorEastAsia" w:eastAsiaTheme="minorEastAsia" w:cstheme="minorEastAsia"/>
          <w:color w:val="000000"/>
        </w:rPr>
        <w:t>项目沙盘制作业绩（单个合同金额不低于</w:t>
      </w:r>
      <w:r>
        <w:rPr>
          <w:rFonts w:hint="eastAsia" w:asciiTheme="minorEastAsia" w:hAnsiTheme="minorEastAsia" w:eastAsiaTheme="minorEastAsia" w:cstheme="minorEastAsia"/>
          <w:color w:val="000000"/>
          <w:lang w:val="en-US" w:eastAsia="zh-CN"/>
        </w:rPr>
        <w:t>20</w:t>
      </w:r>
      <w:r>
        <w:rPr>
          <w:rFonts w:asciiTheme="minorEastAsia" w:hAnsiTheme="minorEastAsia" w:eastAsiaTheme="minorEastAsia" w:cstheme="minorEastAsia"/>
          <w:color w:val="000000"/>
        </w:rPr>
        <w:t>万元），投标时须提供合同关键页及项目实景照片；</w:t>
      </w:r>
    </w:p>
    <w:p w14:paraId="658B4530">
      <w:pPr>
        <w:pStyle w:val="7"/>
        <w:widowControl/>
        <w:spacing w:beforeAutospacing="0" w:afterAutospacing="0" w:line="360" w:lineRule="auto"/>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（7）</w:t>
      </w:r>
      <w:r>
        <w:rPr>
          <w:rFonts w:asciiTheme="minorEastAsia" w:hAnsiTheme="minorEastAsia" w:eastAsiaTheme="minorEastAsia" w:cstheme="minorEastAsia"/>
          <w:color w:val="000000"/>
        </w:rPr>
        <w:t>承诺对甲方提供的图纸、设计方案及模型数据承担保密义务，模型设计成果及3D数据知识产权归甲方所有。</w:t>
      </w:r>
    </w:p>
    <w:p w14:paraId="44ED1BBB">
      <w:pPr>
        <w:pStyle w:val="7"/>
        <w:widowControl/>
        <w:spacing w:beforeAutospacing="0" w:afterAutospacing="0" w:line="360" w:lineRule="auto"/>
        <w:rPr>
          <w:rFonts w:hint="eastAsia" w:asciiTheme="minorEastAsia" w:hAnsiTheme="minorEastAsia" w:eastAsiaTheme="minorEastAsia" w:cstheme="minorEastAsia"/>
          <w:b/>
          <w:bCs/>
          <w:color w:val="000000"/>
          <w:sz w:val="32"/>
          <w:szCs w:val="32"/>
          <w:lang w:val="en-US" w:eastAsia="zh-CN"/>
        </w:rPr>
      </w:pPr>
    </w:p>
    <w:p w14:paraId="74B568C3">
      <w:pPr>
        <w:pStyle w:val="7"/>
        <w:widowControl/>
        <w:spacing w:beforeAutospacing="0" w:afterAutospacing="0" w:line="360" w:lineRule="auto"/>
        <w:rPr>
          <w:rFonts w:hint="eastAsia" w:ascii="黑体" w:hAnsi="黑体" w:eastAsia="黑体" w:cs="黑体"/>
          <w:b/>
          <w:bCs/>
          <w:kern w:val="2"/>
          <w:sz w:val="32"/>
          <w:szCs w:val="32"/>
          <w:lang w:val="en-US" w:eastAsia="zh-CN" w:bidi="ar-SA"/>
        </w:rPr>
      </w:pPr>
      <w:r>
        <w:rPr>
          <w:rFonts w:hint="eastAsia" w:ascii="黑体" w:hAnsi="黑体" w:eastAsia="黑体" w:cs="黑体"/>
          <w:b/>
          <w:bCs/>
          <w:kern w:val="2"/>
          <w:sz w:val="32"/>
          <w:szCs w:val="32"/>
          <w:lang w:val="en-US" w:eastAsia="zh-CN" w:bidi="ar-SA"/>
        </w:rPr>
        <w:t>七、工期及服务要求</w:t>
      </w:r>
    </w:p>
    <w:p w14:paraId="7C50BDB8">
      <w:pPr>
        <w:pStyle w:val="7"/>
        <w:widowControl/>
        <w:spacing w:beforeAutospacing="0" w:afterAutospacing="0" w:line="360" w:lineRule="auto"/>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（1）</w:t>
      </w:r>
      <w:r>
        <w:rPr>
          <w:rFonts w:asciiTheme="minorEastAsia" w:hAnsiTheme="minorEastAsia" w:eastAsiaTheme="minorEastAsia" w:cstheme="minorEastAsia"/>
          <w:color w:val="000000"/>
        </w:rPr>
        <w:t>招标文件发出后，投标人须于五个工作日内根据本任务书提交沙盘制作技术方案（含深化设计思路、工艺说明、效果图）及详细报价清单。</w:t>
      </w:r>
    </w:p>
    <w:p w14:paraId="3FC645BA">
      <w:pPr>
        <w:pStyle w:val="7"/>
        <w:widowControl/>
        <w:spacing w:beforeAutospacing="0" w:afterAutospacing="0" w:line="360" w:lineRule="auto"/>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eastAsia="zh-CN"/>
        </w:rPr>
        <w:t>（2）</w:t>
      </w:r>
      <w:r>
        <w:rPr>
          <w:rFonts w:asciiTheme="minorEastAsia" w:hAnsiTheme="minorEastAsia" w:eastAsiaTheme="minorEastAsia" w:cstheme="minorEastAsia"/>
          <w:color w:val="000000"/>
        </w:rPr>
        <w:t>完工期限：2026年10月30日前完成制作、现场安装及调试验收（具体以合同约定为准）。工期自合同签订且深化设计方案经甲方书面确认之日起算，主要节点如下：深化设计及材料样板确认——合同签订后10个工作日内；模型制作——60个日历天内；出厂验收——交付现场前3个工作日；现场安装调试及验收——3个日历天内。</w:t>
      </w:r>
    </w:p>
    <w:p w14:paraId="639591DB">
      <w:pPr>
        <w:spacing w:line="360" w:lineRule="auto"/>
        <w:rPr>
          <w:rFonts w:hint="eastAsia" w:asciiTheme="minorEastAsia" w:hAnsiTheme="minorEastAsia" w:eastAsiaTheme="minorEastAsia" w:cstheme="minorEastAsia"/>
          <w:b/>
          <w:bCs/>
          <w:sz w:val="32"/>
          <w:szCs w:val="32"/>
          <w:lang w:val="en-US" w:eastAsia="zh-CN"/>
        </w:rPr>
      </w:pPr>
    </w:p>
    <w:p w14:paraId="59E692CD">
      <w:pPr>
        <w:spacing w:line="360" w:lineRule="auto"/>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lang w:val="en-US" w:eastAsia="zh-CN"/>
        </w:rPr>
        <w:t>八</w:t>
      </w:r>
      <w:r>
        <w:rPr>
          <w:rFonts w:hint="eastAsia" w:asciiTheme="minorEastAsia" w:hAnsiTheme="minorEastAsia" w:eastAsiaTheme="minorEastAsia" w:cstheme="minorEastAsia"/>
          <w:b/>
          <w:bCs/>
          <w:sz w:val="32"/>
          <w:szCs w:val="32"/>
        </w:rPr>
        <w:t>、结算</w:t>
      </w:r>
      <w:r>
        <w:rPr>
          <w:rFonts w:hint="eastAsia" w:asciiTheme="minorEastAsia" w:hAnsiTheme="minorEastAsia" w:eastAsiaTheme="minorEastAsia" w:cstheme="minorEastAsia"/>
          <w:b/>
          <w:bCs/>
          <w:sz w:val="32"/>
          <w:szCs w:val="32"/>
          <w:lang w:val="en-US" w:eastAsia="zh-CN"/>
        </w:rPr>
        <w:t>及评标</w:t>
      </w:r>
      <w:r>
        <w:rPr>
          <w:rFonts w:hint="eastAsia" w:asciiTheme="minorEastAsia" w:hAnsiTheme="minorEastAsia" w:eastAsiaTheme="minorEastAsia" w:cstheme="minorEastAsia"/>
          <w:b/>
          <w:bCs/>
          <w:sz w:val="32"/>
          <w:szCs w:val="32"/>
        </w:rPr>
        <w:t>方式</w:t>
      </w:r>
    </w:p>
    <w:p w14:paraId="4FB885E4">
      <w:pPr>
        <w:pStyle w:val="7"/>
        <w:widowControl/>
        <w:spacing w:beforeAutospacing="0" w:afterAutospacing="0" w:line="360" w:lineRule="auto"/>
        <w:rPr>
          <w:rFonts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eastAsia="zh-CN"/>
        </w:rPr>
        <w:t>（1）</w:t>
      </w:r>
      <w:r>
        <w:rPr>
          <w:rFonts w:asciiTheme="minorEastAsia" w:hAnsiTheme="minorEastAsia" w:eastAsiaTheme="minorEastAsia" w:cstheme="minorEastAsia"/>
          <w:color w:val="000000"/>
          <w:lang w:val="en-US" w:eastAsia="zh-CN"/>
        </w:rPr>
        <w:t>报价方式：报价包含沙盘模型价格（及子沙盘底座），不含母沙盘模型底座费用，母沙盘底座由甲方制作，乙方需配合甲方给出底座制作图。（含母沙盘底座配合制作图）</w:t>
      </w:r>
    </w:p>
    <w:p w14:paraId="7F3ABBB1">
      <w:pPr>
        <w:pStyle w:val="7"/>
        <w:widowControl/>
        <w:spacing w:beforeAutospacing="0" w:afterAutospacing="0" w:line="360" w:lineRule="auto"/>
        <w:rPr>
          <w:rFonts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eastAsia="zh-CN"/>
        </w:rPr>
        <w:t>（2）</w:t>
      </w:r>
      <w:r>
        <w:rPr>
          <w:rFonts w:asciiTheme="minorEastAsia" w:hAnsiTheme="minorEastAsia" w:eastAsiaTheme="minorEastAsia" w:cstheme="minorEastAsia"/>
          <w:color w:val="000000"/>
          <w:lang w:val="en-US" w:eastAsia="zh-CN"/>
        </w:rPr>
        <w:t>结算方式：本次采购采用总价包干方式，投标总价包含模型设计、制作、运输、安装、调试、税费及质保期内的全部费用；合同履行中如发生经甲方书面确认的设计变更或服务增项，按双方确认的变更费用另行结算。</w:t>
      </w:r>
    </w:p>
    <w:p w14:paraId="61C0ED68">
      <w:pPr>
        <w:pStyle w:val="7"/>
        <w:widowControl/>
        <w:spacing w:beforeAutospacing="0" w:afterAutospacing="0" w:line="360" w:lineRule="auto"/>
        <w:rPr>
          <w:rFonts w:hint="eastAsia"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val="en-US" w:eastAsia="zh-CN"/>
        </w:rPr>
        <w:t>备注：由于乙方出品质量、效果及其他因素达不到甲方原要求而造成服务增加，所产生的额外费用及服务甲方不承担。</w:t>
      </w:r>
      <w:bookmarkStart w:id="0" w:name="_GoBack"/>
      <w:bookmarkEnd w:id="0"/>
    </w:p>
    <w:p w14:paraId="2609E1C4">
      <w:pPr>
        <w:pStyle w:val="7"/>
        <w:widowControl/>
        <w:spacing w:beforeAutospacing="0" w:afterAutospacing="0" w:line="360" w:lineRule="auto"/>
        <w:rPr>
          <w:rFonts w:hint="default"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val="en-US" w:eastAsia="zh-CN"/>
        </w:rPr>
        <w:t>（3）</w:t>
      </w:r>
      <w:r>
        <w:rPr>
          <w:rFonts w:asciiTheme="minorEastAsia" w:hAnsiTheme="minorEastAsia" w:eastAsiaTheme="minorEastAsia" w:cstheme="minorEastAsia"/>
          <w:color w:val="000000"/>
          <w:lang w:val="en-US" w:eastAsia="zh-CN"/>
        </w:rPr>
        <w:t>评标方式：本次采用综合评标法，评分维度包括：技术方案（</w:t>
      </w:r>
      <w:r>
        <w:rPr>
          <w:rFonts w:hint="eastAsia" w:asciiTheme="minorEastAsia" w:hAnsiTheme="minorEastAsia" w:eastAsiaTheme="minorEastAsia" w:cstheme="minorEastAsia"/>
          <w:color w:val="000000"/>
          <w:lang w:val="en-US" w:eastAsia="zh-CN"/>
        </w:rPr>
        <w:t>效果表现</w:t>
      </w:r>
      <w:r>
        <w:rPr>
          <w:rFonts w:asciiTheme="minorEastAsia" w:hAnsiTheme="minorEastAsia" w:eastAsiaTheme="minorEastAsia" w:cstheme="minorEastAsia"/>
          <w:color w:val="000000"/>
          <w:lang w:val="en-US" w:eastAsia="zh-CN"/>
        </w:rPr>
        <w:t>、</w:t>
      </w:r>
      <w:r>
        <w:rPr>
          <w:rFonts w:hint="eastAsia" w:asciiTheme="minorEastAsia" w:hAnsiTheme="minorEastAsia" w:eastAsiaTheme="minorEastAsia" w:cstheme="minorEastAsia"/>
          <w:color w:val="000000"/>
          <w:lang w:val="en-US" w:eastAsia="zh-CN"/>
        </w:rPr>
        <w:t>材质工艺</w:t>
      </w:r>
      <w:r>
        <w:rPr>
          <w:rFonts w:asciiTheme="minorEastAsia" w:hAnsiTheme="minorEastAsia" w:eastAsiaTheme="minorEastAsia" w:cstheme="minorEastAsia"/>
          <w:color w:val="000000"/>
          <w:lang w:val="en-US" w:eastAsia="zh-CN"/>
        </w:rPr>
        <w:t>）、企业业绩、售后服务、</w:t>
      </w:r>
      <w:r>
        <w:rPr>
          <w:rFonts w:hint="eastAsia" w:asciiTheme="minorEastAsia" w:hAnsiTheme="minorEastAsia" w:eastAsiaTheme="minorEastAsia" w:cstheme="minorEastAsia"/>
          <w:color w:val="000000"/>
          <w:lang w:val="en-US" w:eastAsia="zh-CN"/>
        </w:rPr>
        <w:t>投标</w:t>
      </w:r>
      <w:r>
        <w:rPr>
          <w:rFonts w:asciiTheme="minorEastAsia" w:hAnsiTheme="minorEastAsia" w:eastAsiaTheme="minorEastAsia" w:cstheme="minorEastAsia"/>
          <w:color w:val="000000"/>
          <w:lang w:val="en-US" w:eastAsia="zh-CN"/>
        </w:rPr>
        <w:t>报价。</w:t>
      </w:r>
    </w:p>
    <w:p w14:paraId="2BA63DB9">
      <w:pPr>
        <w:spacing w:line="360" w:lineRule="auto"/>
        <w:rPr>
          <w:rFonts w:hint="default"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b/>
          <w:bCs/>
          <w:sz w:val="32"/>
          <w:szCs w:val="32"/>
          <w:lang w:val="en-US" w:eastAsia="zh-CN"/>
        </w:rPr>
        <w:t>九</w:t>
      </w:r>
      <w:r>
        <w:rPr>
          <w:rFonts w:hint="eastAsia" w:asciiTheme="minorEastAsia" w:hAnsiTheme="minorEastAsia" w:eastAsiaTheme="minorEastAsia" w:cstheme="minorEastAsia"/>
          <w:b/>
          <w:bCs/>
          <w:sz w:val="32"/>
          <w:szCs w:val="32"/>
        </w:rPr>
        <w:t>、</w:t>
      </w:r>
      <w:r>
        <w:rPr>
          <w:rFonts w:hint="eastAsia" w:asciiTheme="minorEastAsia" w:hAnsiTheme="minorEastAsia" w:eastAsiaTheme="minorEastAsia" w:cstheme="minorEastAsia"/>
          <w:b/>
          <w:bCs/>
          <w:sz w:val="32"/>
          <w:szCs w:val="32"/>
          <w:lang w:val="en-US" w:eastAsia="zh-CN"/>
        </w:rPr>
        <w:t>其他</w:t>
      </w:r>
    </w:p>
    <w:p w14:paraId="5A41F6B4">
      <w:pPr>
        <w:pStyle w:val="7"/>
        <w:widowControl/>
        <w:spacing w:beforeAutospacing="0" w:afterAutospacing="0" w:line="360" w:lineRule="auto"/>
        <w:rPr>
          <w:rFonts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val="en-US" w:eastAsia="zh-CN"/>
        </w:rPr>
        <w:t>（1）</w:t>
      </w:r>
      <w:r>
        <w:rPr>
          <w:rFonts w:asciiTheme="minorEastAsia" w:hAnsiTheme="minorEastAsia" w:eastAsiaTheme="minorEastAsia" w:cstheme="minorEastAsia"/>
          <w:color w:val="000000"/>
          <w:lang w:val="en-US" w:eastAsia="zh-CN"/>
        </w:rPr>
        <w:t>违约责任：乙方逾期交付的，每逾期一日按合同总价的0.5‰向甲方支付违约金；逾期超过15日的，甲方有权解除合同并要求乙方承担由此造成的损失。乙方交付的模型经甲方验收不合格且经整改仍不合格的，甲方有权解除合同。</w:t>
      </w:r>
    </w:p>
    <w:p w14:paraId="2705CA95">
      <w:pPr>
        <w:pStyle w:val="7"/>
        <w:widowControl/>
        <w:spacing w:beforeAutospacing="0" w:afterAutospacing="0" w:line="360" w:lineRule="auto"/>
        <w:rPr>
          <w:rFonts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val="en-US" w:eastAsia="zh-CN"/>
        </w:rPr>
        <w:t>（2）</w:t>
      </w:r>
      <w:r>
        <w:rPr>
          <w:rFonts w:asciiTheme="minorEastAsia" w:hAnsiTheme="minorEastAsia" w:eastAsiaTheme="minorEastAsia" w:cstheme="minorEastAsia"/>
          <w:color w:val="000000"/>
          <w:lang w:val="en-US" w:eastAsia="zh-CN"/>
        </w:rPr>
        <w:t>知识产权与保密：模型的设计方案、3D模型数据、施工图纸等成果的知识产权归甲方所有，乙方不得用于本项目以外的任何用途；乙方须对甲方提供的图纸及项目资料承担保密义务，未经甲方书面同意不得向第三方披露。</w:t>
      </w:r>
    </w:p>
    <w:p w14:paraId="5433E4D0">
      <w:pPr>
        <w:pStyle w:val="7"/>
        <w:widowControl/>
        <w:spacing w:beforeAutospacing="0" w:afterAutospacing="0" w:line="360" w:lineRule="auto"/>
        <w:rPr>
          <w:rFonts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val="en-US" w:eastAsia="zh-CN"/>
        </w:rPr>
        <w:t>（3）</w:t>
      </w:r>
      <w:r>
        <w:rPr>
          <w:rFonts w:asciiTheme="minorEastAsia" w:hAnsiTheme="minorEastAsia" w:eastAsiaTheme="minorEastAsia" w:cstheme="minorEastAsia"/>
          <w:color w:val="000000"/>
          <w:lang w:val="en-US" w:eastAsia="zh-CN"/>
        </w:rPr>
        <w:t>其他：未尽事宜由双方在合同中另行约定；因履行本合同</w:t>
      </w:r>
      <w:r>
        <w:rPr>
          <w:rFonts w:hint="eastAsia" w:asciiTheme="minorEastAsia" w:hAnsiTheme="minorEastAsia" w:eastAsiaTheme="minorEastAsia" w:cstheme="minorEastAsia"/>
          <w:color w:val="000000"/>
          <w:lang w:val="en-US" w:eastAsia="zh-CN"/>
        </w:rPr>
        <w:t>发生争议，双方</w:t>
      </w:r>
      <w:r>
        <w:rPr>
          <w:rFonts w:asciiTheme="minorEastAsia" w:hAnsiTheme="minorEastAsia" w:eastAsiaTheme="minorEastAsia" w:cstheme="minorEastAsia"/>
          <w:color w:val="000000"/>
          <w:lang w:val="en-US" w:eastAsia="zh-CN"/>
        </w:rPr>
        <w:t>应协商解决，协商不成的，</w:t>
      </w:r>
      <w:r>
        <w:rPr>
          <w:rFonts w:hint="eastAsia" w:asciiTheme="minorEastAsia" w:hAnsiTheme="minorEastAsia" w:eastAsiaTheme="minorEastAsia" w:cstheme="minorEastAsia"/>
          <w:color w:val="000000"/>
          <w:lang w:val="en-US" w:eastAsia="zh-CN"/>
        </w:rPr>
        <w:t>向</w:t>
      </w:r>
      <w:r>
        <w:rPr>
          <w:rFonts w:asciiTheme="minorEastAsia" w:hAnsiTheme="minorEastAsia" w:eastAsiaTheme="minorEastAsia" w:cstheme="minorEastAsia"/>
          <w:color w:val="000000"/>
          <w:lang w:val="en-US" w:eastAsia="zh-CN"/>
        </w:rPr>
        <w:t>甲方所在地有管辖权的</w:t>
      </w:r>
      <w:r>
        <w:rPr>
          <w:rFonts w:hint="eastAsia" w:asciiTheme="minorEastAsia" w:hAnsiTheme="minorEastAsia" w:eastAsiaTheme="minorEastAsia" w:cstheme="minorEastAsia"/>
          <w:color w:val="000000"/>
          <w:lang w:val="en-US" w:eastAsia="zh-CN"/>
        </w:rPr>
        <w:t>人民法院提起诉讼</w:t>
      </w:r>
      <w:r>
        <w:rPr>
          <w:rFonts w:asciiTheme="minorEastAsia" w:hAnsiTheme="minorEastAsia" w:eastAsiaTheme="minorEastAsia" w:cstheme="minorEastAsia"/>
          <w:color w:val="000000"/>
          <w:lang w:val="en-US" w:eastAsia="zh-CN"/>
        </w:rPr>
        <w:t>。</w:t>
      </w:r>
    </w:p>
    <w:p w14:paraId="6405E5C8">
      <w:pPr>
        <w:pStyle w:val="7"/>
        <w:widowControl/>
        <w:spacing w:beforeAutospacing="0" w:afterAutospacing="0" w:line="360" w:lineRule="auto"/>
        <w:rPr>
          <w:rFonts w:hint="eastAsia" w:asciiTheme="minorEastAsia" w:hAnsiTheme="minorEastAsia" w:eastAsiaTheme="minorEastAsia" w:cstheme="minorEastAsia"/>
          <w:color w:val="000000"/>
          <w:lang w:val="en-US" w:eastAsia="zh-CN"/>
        </w:rPr>
      </w:pPr>
    </w:p>
    <w:p w14:paraId="7CD3C069">
      <w:pPr>
        <w:pStyle w:val="7"/>
        <w:widowControl/>
        <w:spacing w:beforeAutospacing="0" w:afterAutospacing="0" w:line="360" w:lineRule="auto"/>
        <w:rPr>
          <w:rFonts w:hint="eastAsia" w:asciiTheme="minorEastAsia" w:hAnsiTheme="minorEastAsia" w:eastAsiaTheme="minorEastAsia" w:cstheme="minorEastAsia"/>
          <w:color w:val="000000"/>
          <w:lang w:val="en-US" w:eastAsia="zh-CN"/>
        </w:rPr>
      </w:pPr>
    </w:p>
    <w:p w14:paraId="6D931C1A">
      <w:pPr>
        <w:pStyle w:val="7"/>
        <w:widowControl/>
        <w:spacing w:beforeAutospacing="0" w:afterAutospacing="0" w:line="360" w:lineRule="auto"/>
        <w:rPr>
          <w:rFonts w:hint="eastAsia" w:asciiTheme="minorEastAsia" w:hAnsiTheme="minorEastAsia" w:eastAsiaTheme="minorEastAsia" w:cstheme="minorEastAsia"/>
          <w:color w:val="000000"/>
          <w:lang w:val="en-US" w:eastAsia="zh-CN"/>
        </w:rPr>
      </w:pPr>
    </w:p>
    <w:p w14:paraId="1205D1F3">
      <w:pPr>
        <w:pStyle w:val="7"/>
        <w:widowControl/>
        <w:spacing w:beforeAutospacing="0" w:afterAutospacing="0" w:line="360" w:lineRule="auto"/>
        <w:rPr>
          <w:rFonts w:hint="default"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val="en-US" w:eastAsia="zh-CN"/>
        </w:rPr>
        <w:t>附件：项目总平面图</w:t>
      </w:r>
    </w:p>
    <w:p w14:paraId="3BAF06F9">
      <w:pPr>
        <w:pStyle w:val="7"/>
        <w:widowControl/>
        <w:spacing w:beforeAutospacing="0" w:afterAutospacing="0" w:line="360" w:lineRule="auto"/>
        <w:rPr>
          <w:rFonts w:hint="eastAsia"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val="en-US" w:eastAsia="zh-CN"/>
        </w:rPr>
        <w:object>
          <v:shape id="_x0000_i1025" o:spt="75" type="#_x0000_t75" style="height:60pt;width:60pt;" o:ole="t" filled="f" o:preferrelative="t" stroked="f" coordsize="21600,21600">
            <v:path/>
            <v:fill on="f" focussize="0,0"/>
            <v:stroke on="f"/>
            <v:imagedata r:id="rId11" o:title="oleimage"/>
            <o:lock v:ext="edit" aspectratio="t"/>
            <w10:wrap type="none"/>
            <w10:anchorlock/>
          </v:shape>
          <o:OLEObject Type="Embed" ProgID="Package" ShapeID="_x0000_i1025" DrawAspect="Icon" ObjectID="_1468075725" r:id="rId10">
            <o:LockedField>false</o:LockedField>
          </o:OLEObject>
        </w:obje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panose1 w:val="020F07020304040A0204"/>
    <w:charset w:val="00"/>
    <w:family w:val="swiss"/>
    <w:pitch w:val="default"/>
    <w:sig w:usb0="E4000EFF" w:usb1="4200247B" w:usb2="00000001" w:usb3="00000000" w:csb0="200001BF" w:csb1="00000000"/>
  </w:font>
  <w:font w:name="微软雅黑">
    <w:panose1 w:val="020B0502040204020203"/>
    <w:charset w:val="86"/>
    <w:family w:val="swiss"/>
    <w:pitch w:val="default"/>
    <w:sig w:usb0="80000287" w:usb1="2ACF0010" w:usb2="00000016" w:usb3="00000000" w:csb0="0004001F"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172A27"/>
    <w:rsid w:val="000A5250"/>
    <w:rsid w:val="000E361F"/>
    <w:rsid w:val="000F7A7A"/>
    <w:rsid w:val="00123D00"/>
    <w:rsid w:val="00172A27"/>
    <w:rsid w:val="0031496E"/>
    <w:rsid w:val="00371D19"/>
    <w:rsid w:val="003A2E0D"/>
    <w:rsid w:val="00427CFD"/>
    <w:rsid w:val="004878F7"/>
    <w:rsid w:val="005E47EF"/>
    <w:rsid w:val="0060513D"/>
    <w:rsid w:val="006977FA"/>
    <w:rsid w:val="006D4196"/>
    <w:rsid w:val="00720EE0"/>
    <w:rsid w:val="007815E6"/>
    <w:rsid w:val="007C3D72"/>
    <w:rsid w:val="0085578D"/>
    <w:rsid w:val="008559B5"/>
    <w:rsid w:val="008874B9"/>
    <w:rsid w:val="008B0A78"/>
    <w:rsid w:val="008E5A31"/>
    <w:rsid w:val="00997912"/>
    <w:rsid w:val="00A90041"/>
    <w:rsid w:val="00AC3329"/>
    <w:rsid w:val="00BA177F"/>
    <w:rsid w:val="00BE3F93"/>
    <w:rsid w:val="00BF6DE4"/>
    <w:rsid w:val="00CF1049"/>
    <w:rsid w:val="00D03216"/>
    <w:rsid w:val="00D4141F"/>
    <w:rsid w:val="00D66DA9"/>
    <w:rsid w:val="00D70F99"/>
    <w:rsid w:val="00EF7414"/>
    <w:rsid w:val="00F50DB0"/>
    <w:rsid w:val="00F522FC"/>
    <w:rsid w:val="02DC6509"/>
    <w:rsid w:val="09D61D2D"/>
    <w:rsid w:val="0B393AF8"/>
    <w:rsid w:val="0B651C2B"/>
    <w:rsid w:val="0ECF0AF3"/>
    <w:rsid w:val="121532FC"/>
    <w:rsid w:val="12DE5A77"/>
    <w:rsid w:val="16320E4A"/>
    <w:rsid w:val="16E845F4"/>
    <w:rsid w:val="1A0F63E6"/>
    <w:rsid w:val="1A495C9C"/>
    <w:rsid w:val="1B93576B"/>
    <w:rsid w:val="1BFE5721"/>
    <w:rsid w:val="1F1619AA"/>
    <w:rsid w:val="20C1098F"/>
    <w:rsid w:val="26D07ABD"/>
    <w:rsid w:val="2A1A16E9"/>
    <w:rsid w:val="36977A9E"/>
    <w:rsid w:val="379231B9"/>
    <w:rsid w:val="3ADA49D1"/>
    <w:rsid w:val="3CB70E3C"/>
    <w:rsid w:val="3DB53FD6"/>
    <w:rsid w:val="3DC75867"/>
    <w:rsid w:val="3EB15385"/>
    <w:rsid w:val="44B85878"/>
    <w:rsid w:val="4862410E"/>
    <w:rsid w:val="4F394C8D"/>
    <w:rsid w:val="525E4232"/>
    <w:rsid w:val="54ED3971"/>
    <w:rsid w:val="5B4077C3"/>
    <w:rsid w:val="5BA35688"/>
    <w:rsid w:val="5F30427B"/>
    <w:rsid w:val="5F796BB3"/>
    <w:rsid w:val="605959B7"/>
    <w:rsid w:val="67126FA9"/>
    <w:rsid w:val="6895624D"/>
    <w:rsid w:val="708750A1"/>
    <w:rsid w:val="722D66AE"/>
    <w:rsid w:val="743C1552"/>
    <w:rsid w:val="75137DDD"/>
    <w:rsid w:val="76C838FD"/>
    <w:rsid w:val="799A3EE4"/>
    <w:rsid w:val="7AF763CB"/>
    <w:rsid w:val="7C6D7232"/>
    <w:rsid w:val="7DFFC14A"/>
    <w:rsid w:val="7EC851A5"/>
    <w:rsid w:val="7F73E066"/>
    <w:rsid w:val="7FFDE768"/>
    <w:rsid w:val="95FDCF02"/>
    <w:rsid w:val="FECBD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Lines/>
      <w:widowControl/>
      <w:tabs>
        <w:tab w:val="left" w:pos="720"/>
      </w:tabs>
      <w:spacing w:before="260" w:after="260" w:line="416" w:lineRule="auto"/>
      <w:outlineLvl w:val="1"/>
    </w:pPr>
    <w:rPr>
      <w:rFonts w:ascii="黑体" w:hAnsi="Arial" w:eastAsia="黑体"/>
      <w:b/>
      <w:bCs/>
      <w:sz w:val="28"/>
      <w:szCs w:val="32"/>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autoSpaceDE w:val="0"/>
      <w:autoSpaceDN w:val="0"/>
      <w:adjustRightInd w:val="0"/>
      <w:ind w:firstLine="420"/>
      <w:jc w:val="left"/>
      <w:textAlignment w:val="baseline"/>
    </w:pPr>
    <w:rPr>
      <w:rFonts w:ascii="宋体"/>
      <w:kern w:val="0"/>
      <w:sz w:val="34"/>
      <w:szCs w:val="20"/>
    </w:rPr>
  </w:style>
  <w:style w:type="paragraph" w:styleId="5">
    <w:name w:val="footer"/>
    <w:basedOn w:val="1"/>
    <w:link w:val="19"/>
    <w:autoRedefine/>
    <w:qFormat/>
    <w:uiPriority w:val="0"/>
    <w:pPr>
      <w:tabs>
        <w:tab w:val="center" w:pos="4153"/>
        <w:tab w:val="right" w:pos="8306"/>
      </w:tabs>
      <w:snapToGrid w:val="0"/>
      <w:jc w:val="left"/>
    </w:pPr>
    <w:rPr>
      <w:sz w:val="18"/>
      <w:szCs w:val="18"/>
    </w:rPr>
  </w:style>
  <w:style w:type="paragraph" w:styleId="6">
    <w:name w:val="header"/>
    <w:basedOn w:val="1"/>
    <w:link w:val="18"/>
    <w:autoRedefine/>
    <w:qFormat/>
    <w:uiPriority w:val="0"/>
    <w:pPr>
      <w:tabs>
        <w:tab w:val="center" w:pos="4153"/>
        <w:tab w:val="right" w:pos="8306"/>
      </w:tabs>
      <w:snapToGrid w:val="0"/>
      <w:jc w:val="center"/>
    </w:pPr>
    <w:rPr>
      <w:sz w:val="18"/>
      <w:szCs w:val="18"/>
    </w:rPr>
  </w:style>
  <w:style w:type="paragraph" w:styleId="7">
    <w:name w:val="Normal (Web)"/>
    <w:basedOn w:val="1"/>
    <w:autoRedefine/>
    <w:qFormat/>
    <w:uiPriority w:val="0"/>
    <w:pPr>
      <w:spacing w:beforeAutospacing="1" w:afterAutospacing="1"/>
      <w:jc w:val="left"/>
    </w:pPr>
    <w:rPr>
      <w:kern w:val="0"/>
      <w:sz w:val="24"/>
    </w:rPr>
  </w:style>
  <w:style w:type="character" w:styleId="10">
    <w:name w:val="Strong"/>
    <w:basedOn w:val="9"/>
    <w:qFormat/>
    <w:uiPriority w:val="0"/>
    <w:rPr>
      <w:b/>
    </w:rPr>
  </w:style>
  <w:style w:type="paragraph" w:customStyle="1" w:styleId="11">
    <w:name w:val="正文1"/>
    <w:autoRedefine/>
    <w:qFormat/>
    <w:uiPriority w:val="0"/>
    <w:pPr>
      <w:jc w:val="both"/>
    </w:pPr>
    <w:rPr>
      <w:rFonts w:ascii="Calibri" w:hAnsi="Calibri" w:eastAsia="宋体" w:cs="宋体"/>
      <w:kern w:val="2"/>
      <w:sz w:val="21"/>
      <w:szCs w:val="21"/>
      <w:lang w:val="en-US" w:eastAsia="zh-CN" w:bidi="ar-SA"/>
    </w:rPr>
  </w:style>
  <w:style w:type="paragraph" w:customStyle="1" w:styleId="12">
    <w:name w:val="我的正文"/>
    <w:basedOn w:val="1"/>
    <w:autoRedefine/>
    <w:qFormat/>
    <w:uiPriority w:val="0"/>
    <w:pPr>
      <w:spacing w:before="156" w:beforeLines="50" w:after="156" w:afterLines="50" w:line="360" w:lineRule="auto"/>
      <w:ind w:firstLine="480" w:firstLineChars="200"/>
    </w:pPr>
    <w:rPr>
      <w:rFonts w:ascii="宋体" w:hAnsi="宋体"/>
      <w:szCs w:val="20"/>
      <w:lang w:eastAsia="en-US" w:bidi="en-US"/>
    </w:rPr>
  </w:style>
  <w:style w:type="paragraph" w:customStyle="1" w:styleId="13">
    <w:name w:val="普通 (Web)"/>
    <w:basedOn w:val="1"/>
    <w:autoRedefine/>
    <w:qFormat/>
    <w:uiPriority w:val="0"/>
    <w:pPr>
      <w:widowControl/>
      <w:spacing w:before="100" w:beforeAutospacing="1" w:after="100" w:afterAutospacing="1"/>
      <w:jc w:val="left"/>
    </w:pPr>
    <w:rPr>
      <w:rFonts w:ascii="宋体" w:hAnsi="宋体"/>
      <w:kern w:val="0"/>
      <w:sz w:val="24"/>
    </w:rPr>
  </w:style>
  <w:style w:type="character" w:customStyle="1" w:styleId="14">
    <w:name w:val="font21"/>
    <w:basedOn w:val="9"/>
    <w:autoRedefine/>
    <w:qFormat/>
    <w:uiPriority w:val="0"/>
    <w:rPr>
      <w:rFonts w:hint="eastAsia" w:ascii="微软雅黑" w:hAnsi="微软雅黑" w:eastAsia="微软雅黑" w:cs="微软雅黑"/>
      <w:color w:val="000000"/>
      <w:sz w:val="22"/>
      <w:szCs w:val="22"/>
      <w:u w:val="none"/>
    </w:rPr>
  </w:style>
  <w:style w:type="character" w:customStyle="1" w:styleId="15">
    <w:name w:val="font31"/>
    <w:basedOn w:val="9"/>
    <w:autoRedefine/>
    <w:qFormat/>
    <w:uiPriority w:val="0"/>
    <w:rPr>
      <w:rFonts w:hint="eastAsia" w:ascii="微软雅黑" w:hAnsi="微软雅黑" w:eastAsia="微软雅黑" w:cs="微软雅黑"/>
      <w:color w:val="000000"/>
      <w:sz w:val="20"/>
      <w:szCs w:val="20"/>
      <w:u w:val="none"/>
    </w:rPr>
  </w:style>
  <w:style w:type="character" w:customStyle="1" w:styleId="16">
    <w:name w:val="font61"/>
    <w:basedOn w:val="9"/>
    <w:autoRedefine/>
    <w:qFormat/>
    <w:uiPriority w:val="0"/>
    <w:rPr>
      <w:rFonts w:hint="eastAsia" w:ascii="微软雅黑" w:hAnsi="微软雅黑" w:eastAsia="微软雅黑" w:cs="微软雅黑"/>
      <w:color w:val="FF0000"/>
      <w:sz w:val="28"/>
      <w:szCs w:val="28"/>
      <w:u w:val="none"/>
    </w:rPr>
  </w:style>
  <w:style w:type="character" w:customStyle="1" w:styleId="17">
    <w:name w:val="font41"/>
    <w:basedOn w:val="9"/>
    <w:autoRedefine/>
    <w:qFormat/>
    <w:uiPriority w:val="0"/>
    <w:rPr>
      <w:rFonts w:hint="eastAsia" w:ascii="微软雅黑" w:hAnsi="微软雅黑" w:eastAsia="微软雅黑" w:cs="微软雅黑"/>
      <w:color w:val="000000"/>
      <w:sz w:val="28"/>
      <w:szCs w:val="28"/>
      <w:u w:val="none"/>
    </w:rPr>
  </w:style>
  <w:style w:type="character" w:customStyle="1" w:styleId="18">
    <w:name w:val="页眉 字符"/>
    <w:basedOn w:val="9"/>
    <w:link w:val="6"/>
    <w:autoRedefine/>
    <w:qFormat/>
    <w:uiPriority w:val="0"/>
    <w:rPr>
      <w:kern w:val="2"/>
      <w:sz w:val="18"/>
      <w:szCs w:val="18"/>
    </w:rPr>
  </w:style>
  <w:style w:type="character" w:customStyle="1" w:styleId="19">
    <w:name w:val="页脚 字符"/>
    <w:basedOn w:val="9"/>
    <w:link w:val="5"/>
    <w:autoRedefine/>
    <w:qFormat/>
    <w:uiPriority w:val="0"/>
    <w:rPr>
      <w:kern w:val="2"/>
      <w:sz w:val="18"/>
      <w:szCs w:val="18"/>
    </w:rPr>
  </w:style>
  <w:style w:type="paragraph" w:customStyle="1" w:styleId="20">
    <w:name w:val="msolistparagraph"/>
    <w:basedOn w:val="1"/>
    <w:qFormat/>
    <w:uiPriority w:val="0"/>
    <w:pPr>
      <w:ind w:firstLine="420" w:firstLineChars="200"/>
    </w:pPr>
  </w:style>
  <w:style w:type="paragraph" w:customStyle="1" w:styleId="21">
    <w:name w:val="p1"/>
    <w:basedOn w:val="1"/>
    <w:uiPriority w:val="0"/>
    <w:pPr>
      <w:spacing w:before="0" w:beforeAutospacing="0" w:after="0" w:afterAutospacing="0"/>
      <w:ind w:left="0" w:right="0"/>
      <w:jc w:val="left"/>
    </w:pPr>
    <w:rPr>
      <w:rFonts w:ascii="helvetica neue" w:hAnsi="helvetica neue" w:eastAsia="helvetica neue" w:cs="helvetica neue"/>
      <w:color w:val="000000"/>
      <w:kern w:val="0"/>
      <w:sz w:val="20"/>
      <w:szCs w:val="20"/>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7.png"/><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3424</Words>
  <Characters>3537</Characters>
  <Lines>25</Lines>
  <Paragraphs>7</Paragraphs>
  <TotalTime>45</TotalTime>
  <ScaleCrop>false</ScaleCrop>
  <LinksUpToDate>false</LinksUpToDate>
  <CharactersWithSpaces>3602</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2023-12-14T02:27:00Z</dcterms:created>
  <dc:creator>陳大海</dc:creator>
  <cp:lastModifiedBy>许晓荣</cp:lastModifiedBy>
  <cp:lastPrinted>2025-03-26T01:24:00Z</cp:lastPrinted>
  <dcterms:modified xsi:type="dcterms:W3CDTF">2026-08-20T18:03:18Z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B10B92121E621E8C72C67A6A7F71540A_43</vt:lpwstr>
  </property>
  <property fmtid="{D5CDD505-2E9C-101B-9397-08002B2CF9AE}" pid="4" name="KSOTemplateDocerSaveRecord">
    <vt:lpwstr>eyJoZGlkIjoiYTYzYTk1YmM5MGIwMzVmNTA2NGQ0MTk0OWQ0YTljMzUiLCJ1c2VySWQiOiI1NTI2NzcyMDAifQ==</vt:lpwstr>
  </property>
</Properties>
</file>