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公共运营打捞船保险服务采购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9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情侣路项目部的2艘打捞船需购买打捞船协会游艇保险（主险条款）保险续约业务，保险包含物资损失以及第三者责任（责任类型）。</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柒仟元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7000.00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柒仟元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7000.00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公共运营打捞船保险服务采购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或其他组织，持有合法有效营业执照。法人分公司可作为投标人参与本项目投标，但须提交总公司出具的有效授权文件，本项目履约产生的全部民事责任由其总公司承担；</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投标供应商须是在中华人民共和国境内合法设立的保险公司：且具有国家金融监督管理总局（原：中国银行保险监督管理委员会）核发的《保险公司法人许可证》或《中华人民共和国保险许可证》或《经营保险业务许可证》。业务范围须包含本项目采购的险种；</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投标供应商若为保险公司总公司的分支机构（分公司或中心支公司等），须取得其保险公司总公司独家授权其参加本次项目的证明文件。已由总公司授权的，总公司取得的相关资质证书或证明对分支机构（分公司或中心支公司等）有效，法律法规或者行业另有规定的除外；同一家保险公司只接受一家投标供应商参加，总公司及同一总公司下属的不同分支机构（分公司或中心支公司等）不允许同时参加本项目投标，否则按无效投标处理；</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4.供应商未被列入“信用中国”网站(www.creditchina.gov.cn)“记录失信被执行人或重大税收违法失信主体”记录名单；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7.本项目不接受联合体投标。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15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公共运营打捞船保险服务采购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br w:type="page"/>
      </w: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94" w:name="_GoBack"/>
      <w:bookmarkEnd w:id="94"/>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16107"/>
      <w:bookmarkStart w:id="8" w:name="_Toc15317"/>
      <w:bookmarkStart w:id="9" w:name="_Toc202254105"/>
      <w:bookmarkStart w:id="10" w:name="_Toc17685"/>
      <w:bookmarkStart w:id="11" w:name="_Toc202252034"/>
      <w:bookmarkStart w:id="12" w:name="_Toc202819878"/>
      <w:bookmarkStart w:id="13" w:name="_Toc202251075"/>
      <w:bookmarkStart w:id="14" w:name="_Toc202820351"/>
      <w:bookmarkStart w:id="15" w:name="_Toc698"/>
      <w:bookmarkStart w:id="16" w:name="_Toc202816996"/>
      <w:bookmarkStart w:id="17" w:name="_Toc503427710"/>
      <w:bookmarkStart w:id="18" w:name="_Toc259090982"/>
      <w:bookmarkStart w:id="19" w:name="_Toc202251700"/>
      <w:bookmarkStart w:id="20" w:name="_Toc276645579"/>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13089"/>
      <w:bookmarkStart w:id="22" w:name="_Toc32660"/>
      <w:bookmarkStart w:id="23" w:name="_Toc259090983"/>
      <w:bookmarkStart w:id="24" w:name="_Toc24181"/>
      <w:bookmarkStart w:id="25" w:name="_Toc276645580"/>
      <w:bookmarkStart w:id="26" w:name="_Toc503427711"/>
      <w:bookmarkStart w:id="27" w:name="_Toc20366"/>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公共运营打捞船保险服务采购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27591"/>
      <w:bookmarkStart w:id="30" w:name="_Toc19171"/>
      <w:bookmarkStart w:id="31" w:name="_Toc17080"/>
      <w:bookmarkStart w:id="32" w:name="_Toc503427713"/>
      <w:bookmarkStart w:id="33" w:name="_Toc19817"/>
      <w:bookmarkStart w:id="34" w:name="_Toc528"/>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公共运营打捞船保险服务采购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5048"/>
      <w:bookmarkStart w:id="36" w:name="_Toc10585"/>
      <w:bookmarkStart w:id="37" w:name="_Toc10559"/>
      <w:bookmarkStart w:id="38" w:name="_Toc24969"/>
      <w:bookmarkStart w:id="39" w:name="_Toc26971"/>
      <w:bookmarkStart w:id="40" w:name="_Toc24356"/>
      <w:bookmarkStart w:id="41" w:name="_Toc14285"/>
      <w:bookmarkStart w:id="42" w:name="_Toc19969"/>
      <w:bookmarkStart w:id="43" w:name="_Toc32141"/>
      <w:bookmarkStart w:id="44" w:name="_Toc19796"/>
      <w:bookmarkStart w:id="45" w:name="_Toc31767"/>
      <w:bookmarkStart w:id="46" w:name="_Toc31877"/>
      <w:bookmarkStart w:id="47" w:name="_Toc9476"/>
      <w:bookmarkStart w:id="48" w:name="_Toc15464"/>
      <w:bookmarkStart w:id="49" w:name="_Toc13922"/>
      <w:bookmarkStart w:id="50" w:name="_Toc6220"/>
      <w:bookmarkStart w:id="51" w:name="_Toc276645583"/>
      <w:bookmarkStart w:id="52" w:name="_Toc4726"/>
      <w:bookmarkStart w:id="53" w:name="_Toc264628882"/>
      <w:bookmarkStart w:id="54" w:name="_Toc27468"/>
      <w:bookmarkStart w:id="55" w:name="_Toc503427714"/>
      <w:bookmarkStart w:id="56" w:name="_Toc4427"/>
      <w:bookmarkStart w:id="57" w:name="_Toc6275"/>
      <w:bookmarkStart w:id="58" w:name="_Toc32498"/>
      <w:r>
        <w:rPr>
          <w:rFonts w:hint="eastAsia" w:ascii="宋体" w:hAnsi="宋体" w:eastAsia="宋体"/>
          <w:sz w:val="28"/>
          <w:lang w:val="en-US" w:eastAsia="zh-CN"/>
        </w:rPr>
        <w:t>1.3</w:t>
      </w:r>
      <w:r>
        <w:rPr>
          <w:rFonts w:hint="eastAsia" w:ascii="宋体" w:hAnsi="宋体"/>
          <w:sz w:val="28"/>
          <w:lang w:val="en-US" w:eastAsia="zh-CN"/>
        </w:rPr>
        <w:t>.1</w:t>
      </w:r>
      <w:r>
        <w:rPr>
          <w:rFonts w:hint="eastAsia" w:ascii="宋体" w:hAnsi="宋体" w:eastAsia="宋体"/>
          <w:sz w:val="28"/>
          <w:lang w:val="en-US" w:eastAsia="zh-CN"/>
        </w:rPr>
        <w:t>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pPr>
      <w:r>
        <w:rPr>
          <w:rFonts w:hint="eastAsia"/>
          <w:b/>
          <w:sz w:val="24"/>
          <w:szCs w:val="24"/>
          <w:lang w:val="en-US" w:eastAsia="zh-CN"/>
        </w:rPr>
        <w:t>示例：</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default" w:ascii="宋体" w:hAnsi="宋体" w:eastAsia="宋体" w:cs="宋体"/>
          <w:bCs/>
          <w:sz w:val="28"/>
          <w:szCs w:val="28"/>
          <w:lang w:val="en-US" w:eastAsia="zh-CN"/>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p>
    <w:p>
      <w:pPr>
        <w:pStyle w:val="5"/>
        <w:spacing w:before="100" w:after="100" w:line="360" w:lineRule="auto"/>
        <w:rPr>
          <w:rFonts w:hint="default" w:ascii="宋体" w:hAnsi="宋体" w:eastAsia="宋体"/>
          <w:sz w:val="28"/>
          <w:lang w:val="en-US" w:eastAsia="zh-CN"/>
        </w:rPr>
      </w:pPr>
      <w:bookmarkStart w:id="59" w:name="_Toc20437"/>
      <w:r>
        <w:rPr>
          <w:rFonts w:hint="eastAsia" w:ascii="宋体" w:hAnsi="宋体" w:eastAsia="宋体"/>
          <w:sz w:val="28"/>
          <w:lang w:val="en-US" w:eastAsia="zh-CN"/>
        </w:rPr>
        <w:t>1.3.2资质要求</w:t>
      </w:r>
    </w:p>
    <w:p>
      <w:pPr>
        <w:numPr>
          <w:ilvl w:val="0"/>
          <w:numId w:val="0"/>
        </w:numPr>
        <w:rPr>
          <w:rFonts w:hint="default"/>
          <w:lang w:val="en-US" w:eastAsia="zh-CN"/>
        </w:rPr>
        <w:sectPr>
          <w:pgSz w:w="11906" w:h="16838"/>
          <w:pgMar w:top="1440" w:right="1800" w:bottom="1440" w:left="1800" w:header="851" w:footer="992" w:gutter="0"/>
          <w:cols w:space="425" w:num="1"/>
          <w:docGrid w:type="lines" w:linePitch="312" w:charSpace="0"/>
        </w:sectPr>
      </w:pPr>
      <w:r>
        <w:drawing>
          <wp:anchor distT="0" distB="0" distL="114300" distR="114300" simplePos="0" relativeHeight="251672576" behindDoc="1" locked="0" layoutInCell="1" allowOverlap="1">
            <wp:simplePos x="0" y="0"/>
            <wp:positionH relativeFrom="column">
              <wp:posOffset>83185</wp:posOffset>
            </wp:positionH>
            <wp:positionV relativeFrom="paragraph">
              <wp:posOffset>4170045</wp:posOffset>
            </wp:positionV>
            <wp:extent cx="5266055" cy="4037965"/>
            <wp:effectExtent l="0" t="0" r="10795" b="63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5266055" cy="4037965"/>
                    </a:xfrm>
                    <a:prstGeom prst="rect">
                      <a:avLst/>
                    </a:prstGeom>
                    <a:noFill/>
                    <a:ln>
                      <a:noFill/>
                    </a:ln>
                  </pic:spPr>
                </pic:pic>
              </a:graphicData>
            </a:graphic>
          </wp:anchor>
        </w:drawing>
      </w:r>
      <w:r>
        <w:drawing>
          <wp:anchor distT="0" distB="0" distL="114300" distR="114300" simplePos="0" relativeHeight="251672576" behindDoc="1" locked="0" layoutInCell="1" allowOverlap="1">
            <wp:simplePos x="0" y="0"/>
            <wp:positionH relativeFrom="column">
              <wp:posOffset>69215</wp:posOffset>
            </wp:positionH>
            <wp:positionV relativeFrom="paragraph">
              <wp:posOffset>240030</wp:posOffset>
            </wp:positionV>
            <wp:extent cx="5321935" cy="3973830"/>
            <wp:effectExtent l="0" t="0" r="12065" b="762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5321935" cy="3973830"/>
                    </a:xfrm>
                    <a:prstGeom prst="rect">
                      <a:avLst/>
                    </a:prstGeom>
                    <a:noFill/>
                    <a:ln>
                      <a:noFill/>
                    </a:ln>
                  </pic:spPr>
                </pic:pic>
              </a:graphicData>
            </a:graphic>
          </wp:anchor>
        </w:drawing>
      </w:r>
      <w:r>
        <w:rPr>
          <w:rFonts w:hint="eastAsia"/>
          <w:b/>
          <w:sz w:val="24"/>
          <w:szCs w:val="24"/>
          <w:lang w:val="en-US" w:eastAsia="zh-CN"/>
        </w:rPr>
        <w:t>示例：</w:t>
      </w:r>
    </w:p>
    <w:p>
      <w:pPr>
        <w:pStyle w:val="5"/>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4108"/>
      <w:bookmarkStart w:id="61" w:name="_Toc202252037"/>
      <w:bookmarkStart w:id="62" w:name="_Toc202819882"/>
      <w:bookmarkStart w:id="63" w:name="_Toc202251078"/>
      <w:bookmarkStart w:id="64" w:name="_Toc202820355"/>
      <w:bookmarkStart w:id="65" w:name="_Toc259090996"/>
      <w:bookmarkStart w:id="66" w:name="_Toc12992"/>
      <w:bookmarkStart w:id="67" w:name="_Toc276645592"/>
      <w:bookmarkStart w:id="68" w:name="_Toc503427721"/>
      <w:bookmarkStart w:id="69" w:name="_Toc24253"/>
      <w:bookmarkStart w:id="70" w:name="_Toc202817000"/>
      <w:bookmarkStart w:id="71" w:name="_Toc21572"/>
      <w:bookmarkStart w:id="72" w:name="_Toc29543"/>
      <w:bookmarkStart w:id="73" w:name="_Toc202251703"/>
      <w:bookmarkStart w:id="74" w:name="_Toc3330"/>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5662"/>
      <w:bookmarkStart w:id="77" w:name="_Toc7304"/>
      <w:bookmarkStart w:id="78" w:name="_Toc22499"/>
      <w:bookmarkStart w:id="79" w:name="_Toc29470"/>
      <w:bookmarkStart w:id="80" w:name="_Toc32145"/>
      <w:bookmarkStart w:id="81" w:name="_Toc113"/>
      <w:bookmarkStart w:id="82" w:name="_Toc5278"/>
      <w:bookmarkStart w:id="83" w:name="_Toc6669"/>
      <w:bookmarkStart w:id="84" w:name="_Toc9094"/>
      <w:bookmarkStart w:id="85" w:name="_Toc3193"/>
      <w:bookmarkStart w:id="86" w:name="_Toc24446"/>
      <w:bookmarkStart w:id="87" w:name="_Toc16860"/>
      <w:bookmarkStart w:id="88" w:name="_Toc500"/>
      <w:bookmarkStart w:id="89" w:name="_Toc30192"/>
      <w:bookmarkStart w:id="90" w:name="_Toc2576"/>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28886"/>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1"/>
                    <a:stretch>
                      <a:fillRect/>
                    </a:stretch>
                  </pic:blipFill>
                  <pic:spPr>
                    <a:xfrm>
                      <a:off x="0" y="0"/>
                      <a:ext cx="5270500" cy="6628130"/>
                    </a:xfrm>
                    <a:prstGeom prst="rect">
                      <a:avLst/>
                    </a:prstGeom>
                  </pic:spPr>
                </pic:pic>
              </a:graphicData>
            </a:graphic>
          </wp:inline>
        </w:drawing>
      </w: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5"/>
        <w:spacing w:before="100" w:after="100" w:line="360" w:lineRule="auto"/>
        <w:rPr>
          <w:rFonts w:hint="eastAsia" w:ascii="宋体" w:hAnsi="宋体" w:eastAsia="宋体"/>
          <w:sz w:val="28"/>
          <w:lang w:val="en-US" w:eastAsia="zh-CN"/>
        </w:rPr>
      </w:pPr>
      <w:r>
        <w:rPr>
          <w:rFonts w:hint="eastAsia" w:ascii="宋体" w:hAnsi="宋体"/>
          <w:sz w:val="28"/>
          <w:lang w:val="en-US" w:eastAsia="zh-CN"/>
        </w:rPr>
        <w:t>1.5</w:t>
      </w:r>
      <w:r>
        <w:rPr>
          <w:rFonts w:hint="eastAsia" w:ascii="宋体" w:hAnsi="宋体" w:eastAsia="宋体"/>
          <w:sz w:val="28"/>
          <w:lang w:val="en-US" w:eastAsia="zh-CN"/>
        </w:rPr>
        <w:t>其他需补充的相关文件</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b/>
          <w:sz w:val="24"/>
          <w:szCs w:val="24"/>
          <w:lang w:val="en-US" w:eastAsia="zh-CN"/>
        </w:rPr>
      </w:pPr>
      <w:r>
        <w:rPr>
          <w:rFonts w:hint="eastAsia"/>
          <w:b/>
          <w:sz w:val="24"/>
          <w:szCs w:val="24"/>
          <w:lang w:val="en-US" w:eastAsia="zh-CN"/>
        </w:rPr>
        <w:t>如：保险总公司《法定代表人身份证明》及《授权书》（格式自拟）。</w:t>
      </w:r>
    </w:p>
    <w:p>
      <w:pPr>
        <w:rPr>
          <w:rFonts w:hint="eastAsia"/>
          <w:lang w:val="en-US" w:eastAsia="zh-CN"/>
        </w:rPr>
        <w:sectPr>
          <w:pgSz w:w="11906" w:h="16838"/>
          <w:pgMar w:top="1304" w:right="1531" w:bottom="1247" w:left="1531" w:header="851" w:footer="992" w:gutter="0"/>
          <w:cols w:space="425" w:num="1"/>
          <w:docGrid w:type="lines" w:linePitch="312" w:charSpace="0"/>
        </w:sect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公共运营打捞船保险服务采购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珠海正方公共资源运营有限公司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公共运营打捞船保险服务采购</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公共运营打捞船保险服务采购</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893"/>
        <w:gridCol w:w="3400"/>
        <w:gridCol w:w="725"/>
        <w:gridCol w:w="700"/>
        <w:gridCol w:w="937"/>
        <w:gridCol w:w="1088"/>
        <w:gridCol w:w="10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34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037"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93"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34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37"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088"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037"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61"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93"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rPr>
              <w:t>正方打捞一号</w:t>
            </w:r>
            <w:r>
              <w:rPr>
                <w:rFonts w:hint="eastAsia" w:ascii="宋体" w:hAnsi="宋体" w:cs="宋体"/>
                <w:i w:val="0"/>
                <w:color w:val="000000"/>
                <w:sz w:val="22"/>
                <w:szCs w:val="22"/>
                <w:u w:val="none"/>
                <w:lang w:val="en-US" w:eastAsia="zh-CN"/>
              </w:rPr>
              <w:t>保险</w:t>
            </w:r>
          </w:p>
        </w:tc>
        <w:tc>
          <w:tcPr>
            <w:tcW w:w="3400" w:type="dxa"/>
            <w:vMerge w:val="restart"/>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rPr>
            </w:pPr>
            <w:r>
              <w:rPr>
                <w:rFonts w:hint="eastAsia"/>
              </w:rPr>
              <w:t>捞船协会游艇保险(主险条款)</w:t>
            </w:r>
          </w:p>
          <w:p>
            <w:pPr>
              <w:keepNext w:val="0"/>
              <w:keepLines w:val="0"/>
              <w:widowControl/>
              <w:suppressLineNumbers w:val="0"/>
              <w:jc w:val="left"/>
              <w:textAlignment w:val="center"/>
              <w:rPr>
                <w:rFonts w:hint="eastAsia"/>
              </w:rPr>
            </w:pPr>
            <w:r>
              <w:rPr>
                <w:rFonts w:hint="eastAsia"/>
              </w:rPr>
              <w:t>物资损失以及第三者责任(责任类型)</w:t>
            </w:r>
          </w:p>
          <w:p>
            <w:pPr>
              <w:pStyle w:val="2"/>
              <w:ind w:left="0" w:leftChars="0" w:firstLine="0" w:firstLineChars="0"/>
              <w:rPr>
                <w:rFonts w:hint="default"/>
                <w:lang w:val="en-US"/>
              </w:rPr>
            </w:pPr>
            <w:r>
              <w:rPr>
                <w:rFonts w:hint="eastAsia"/>
                <w:lang w:val="en-US" w:eastAsia="zh-CN"/>
              </w:rPr>
              <w:t>保险金额：</w:t>
            </w:r>
            <w:r>
              <w:rPr>
                <w:rFonts w:hint="eastAsia" w:ascii="宋体" w:hAnsi="宋体" w:eastAsia="宋体" w:cs="宋体"/>
                <w:lang w:val="en-US" w:eastAsia="zh-CN"/>
              </w:rPr>
              <w:t>274,510.00</w:t>
            </w:r>
            <w:r>
              <w:rPr>
                <w:rFonts w:hint="eastAsia"/>
                <w:lang w:val="en-US" w:eastAsia="zh-CN"/>
              </w:rPr>
              <w:t>元</w:t>
            </w:r>
          </w:p>
          <w:p>
            <w:pPr>
              <w:keepNext w:val="0"/>
              <w:keepLines w:val="0"/>
              <w:widowControl/>
              <w:suppressLineNumbers w:val="0"/>
              <w:jc w:val="left"/>
              <w:textAlignment w:val="center"/>
              <w:rPr>
                <w:rFonts w:hint="default"/>
                <w:lang w:val="en-US" w:eastAsia="zh-CN"/>
              </w:rPr>
            </w:pPr>
            <w:r>
              <w:rPr>
                <w:rFonts w:hint="eastAsia"/>
                <w:lang w:val="en-US" w:eastAsia="zh-CN"/>
              </w:rPr>
              <w:t>免赔额：</w:t>
            </w:r>
            <w:r>
              <w:rPr>
                <w:rFonts w:hint="default"/>
                <w:lang w:val="en-US" w:eastAsia="zh-CN"/>
              </w:rPr>
              <w:t>每次事故绝对免蹈额为5000元或损失金额的10%，两者以高者为准。本保险如发生全损，每次事故绝对免赔率为20%</w:t>
            </w:r>
            <w:r>
              <w:rPr>
                <w:rFonts w:hint="eastAsia"/>
                <w:lang w:val="en-US" w:eastAsia="zh-CN"/>
              </w:rPr>
              <w:t>。</w:t>
            </w:r>
          </w:p>
        </w:tc>
        <w:tc>
          <w:tcPr>
            <w:tcW w:w="7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项</w:t>
            </w:r>
          </w:p>
        </w:tc>
        <w:tc>
          <w:tcPr>
            <w:tcW w:w="7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w:t>
            </w:r>
          </w:p>
        </w:tc>
        <w:tc>
          <w:tcPr>
            <w:tcW w:w="9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08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续约一年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61"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893"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正方打捞</w:t>
            </w:r>
            <w:r>
              <w:rPr>
                <w:rFonts w:hint="eastAsia" w:ascii="宋体" w:hAnsi="宋体" w:cs="宋体"/>
                <w:i w:val="0"/>
                <w:color w:val="000000"/>
                <w:sz w:val="22"/>
                <w:szCs w:val="22"/>
                <w:u w:val="none"/>
                <w:lang w:val="en-US" w:eastAsia="zh-CN"/>
              </w:rPr>
              <w:t>二</w:t>
            </w:r>
            <w:r>
              <w:rPr>
                <w:rFonts w:hint="eastAsia" w:ascii="宋体" w:hAnsi="宋体" w:eastAsia="宋体" w:cs="宋体"/>
                <w:i w:val="0"/>
                <w:color w:val="000000"/>
                <w:sz w:val="22"/>
                <w:szCs w:val="22"/>
                <w:u w:val="none"/>
              </w:rPr>
              <w:t>号</w:t>
            </w:r>
            <w:r>
              <w:rPr>
                <w:rFonts w:hint="eastAsia" w:ascii="宋体" w:hAnsi="宋体" w:cs="宋体"/>
                <w:i w:val="0"/>
                <w:color w:val="000000"/>
                <w:sz w:val="22"/>
                <w:szCs w:val="22"/>
                <w:u w:val="none"/>
                <w:lang w:val="en-US" w:eastAsia="zh-CN"/>
              </w:rPr>
              <w:t>保险</w:t>
            </w:r>
          </w:p>
        </w:tc>
        <w:tc>
          <w:tcPr>
            <w:tcW w:w="3400" w:type="dxa"/>
            <w:vMerge w:val="continue"/>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7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项</w:t>
            </w:r>
          </w:p>
        </w:tc>
        <w:tc>
          <w:tcPr>
            <w:tcW w:w="7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9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08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续约一年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6655"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08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4.联系人：林楷鑫 13697767107</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AF84E4B"/>
    <w:rsid w:val="2B3335F6"/>
    <w:rsid w:val="2BED4BFF"/>
    <w:rsid w:val="2D022F1E"/>
    <w:rsid w:val="2E0A4EF7"/>
    <w:rsid w:val="2EBF0175"/>
    <w:rsid w:val="2F8C5B34"/>
    <w:rsid w:val="3035528F"/>
    <w:rsid w:val="303C5477"/>
    <w:rsid w:val="305D6B4A"/>
    <w:rsid w:val="31BE38D0"/>
    <w:rsid w:val="329B19DD"/>
    <w:rsid w:val="338C409C"/>
    <w:rsid w:val="347C7347"/>
    <w:rsid w:val="36991F33"/>
    <w:rsid w:val="36C13912"/>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C570B35"/>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41</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2026-09-09T03:33:53Z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