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97EA5D">
      <w:pPr>
        <w:spacing w:before="320" w:after="120" w:line="288" w:lineRule="auto"/>
        <w:ind w:left="0" w:leftChars="0"/>
        <w:jc w:val="center"/>
        <w:outlineLvl w:val="0"/>
        <w:rPr>
          <w:rFonts w:hint="eastAsia" w:ascii="Arial" w:hAnsi="Arial" w:eastAsia="等线" w:cs="Arial"/>
          <w:b/>
          <w:sz w:val="52"/>
          <w:szCs w:val="22"/>
        </w:rPr>
      </w:pPr>
      <w:bookmarkStart w:id="0" w:name="_Toc28745"/>
      <w:bookmarkStart w:id="1" w:name="_Toc13102"/>
      <w:bookmarkStart w:id="2" w:name="_Toc11397"/>
      <w:bookmarkStart w:id="3" w:name="_Toc7555"/>
      <w:bookmarkStart w:id="4" w:name="_Toc28404"/>
      <w:bookmarkStart w:id="5" w:name="_Toc18911"/>
      <w:bookmarkStart w:id="6" w:name="_Toc8884"/>
      <w:r>
        <w:rPr>
          <w:rFonts w:hint="eastAsia" w:ascii="Arial" w:hAnsi="Arial" w:eastAsia="等线" w:cs="Arial"/>
          <w:b/>
          <w:sz w:val="52"/>
          <w:szCs w:val="22"/>
        </w:rPr>
        <w:t>珠海市香洲区中小学、幼儿园办学场所及停车场改造提升工程项目</w:t>
      </w:r>
      <w:bookmarkEnd w:id="0"/>
      <w:bookmarkEnd w:id="1"/>
      <w:bookmarkEnd w:id="2"/>
      <w:bookmarkEnd w:id="3"/>
      <w:bookmarkEnd w:id="4"/>
      <w:bookmarkEnd w:id="5"/>
      <w:bookmarkEnd w:id="6"/>
    </w:p>
    <w:p w14:paraId="5ED5032D">
      <w:pPr>
        <w:spacing w:before="320" w:after="120" w:line="288" w:lineRule="auto"/>
        <w:ind w:left="0" w:leftChars="0"/>
        <w:jc w:val="center"/>
        <w:outlineLvl w:val="0"/>
        <w:rPr>
          <w:rFonts w:hint="eastAsia" w:ascii="Arial" w:hAnsi="Arial" w:eastAsia="等线" w:cs="Arial"/>
          <w:b/>
          <w:sz w:val="52"/>
          <w:szCs w:val="22"/>
        </w:rPr>
      </w:pPr>
      <w:bookmarkStart w:id="7" w:name="_Toc16471"/>
      <w:bookmarkStart w:id="8" w:name="_Toc4777"/>
      <w:bookmarkStart w:id="9" w:name="_Toc30852"/>
      <w:bookmarkStart w:id="10" w:name="_Toc3215"/>
      <w:bookmarkStart w:id="11" w:name="_Toc27866"/>
      <w:bookmarkStart w:id="12" w:name="_Toc20357"/>
      <w:bookmarkStart w:id="13" w:name="_Toc21165"/>
      <w:r>
        <w:rPr>
          <w:rFonts w:hint="eastAsia" w:ascii="Arial" w:hAnsi="Arial" w:eastAsia="等线" w:cs="Arial"/>
          <w:b/>
          <w:sz w:val="52"/>
          <w:szCs w:val="22"/>
          <w:lang w:val="en-US" w:eastAsia="zh-CN"/>
        </w:rPr>
        <w:t>燃气管道工程</w:t>
      </w:r>
      <w:r>
        <w:rPr>
          <w:rFonts w:hint="eastAsia" w:ascii="Arial" w:hAnsi="Arial" w:eastAsia="等线" w:cs="Arial"/>
          <w:b/>
          <w:sz w:val="52"/>
          <w:szCs w:val="22"/>
        </w:rPr>
        <w:t>技术任务书</w:t>
      </w:r>
      <w:bookmarkEnd w:id="7"/>
      <w:bookmarkEnd w:id="8"/>
      <w:bookmarkEnd w:id="9"/>
      <w:bookmarkEnd w:id="10"/>
      <w:bookmarkEnd w:id="11"/>
      <w:bookmarkEnd w:id="12"/>
      <w:bookmarkEnd w:id="13"/>
    </w:p>
    <w:p w14:paraId="1E3536CE">
      <w:pPr>
        <w:pStyle w:val="8"/>
        <w:jc w:val="both"/>
        <w:rPr>
          <w:rFonts w:ascii="黑体" w:hAnsi="黑体" w:eastAsia="黑体" w:cs="黑体"/>
          <w:b/>
          <w:color w:val="000000"/>
          <w:sz w:val="28"/>
          <w:szCs w:val="28"/>
        </w:rPr>
      </w:pPr>
    </w:p>
    <w:p w14:paraId="4CDAAA37">
      <w:pPr>
        <w:rPr>
          <w:rFonts w:ascii="黑体" w:hAnsi="黑体" w:eastAsia="黑体" w:cs="黑体"/>
          <w:b/>
          <w:color w:val="000000"/>
          <w:sz w:val="28"/>
          <w:szCs w:val="28"/>
        </w:rPr>
      </w:pPr>
    </w:p>
    <w:p w14:paraId="6B63BD8C">
      <w:pPr>
        <w:rPr>
          <w:rFonts w:ascii="黑体" w:hAnsi="黑体" w:eastAsia="黑体" w:cs="黑体"/>
          <w:b/>
          <w:color w:val="000000"/>
          <w:sz w:val="28"/>
          <w:szCs w:val="28"/>
        </w:rPr>
      </w:pPr>
    </w:p>
    <w:p w14:paraId="5696E90D">
      <w:pPr>
        <w:rPr>
          <w:rFonts w:ascii="黑体" w:hAnsi="黑体" w:eastAsia="黑体" w:cs="黑体"/>
          <w:b/>
          <w:color w:val="000000"/>
          <w:sz w:val="28"/>
          <w:szCs w:val="28"/>
        </w:rPr>
      </w:pPr>
    </w:p>
    <w:p w14:paraId="22F0DE21">
      <w:pPr>
        <w:rPr>
          <w:rFonts w:ascii="黑体" w:hAnsi="黑体" w:eastAsia="黑体" w:cs="黑体"/>
          <w:b/>
          <w:color w:val="000000"/>
          <w:sz w:val="28"/>
          <w:szCs w:val="28"/>
        </w:rPr>
      </w:pPr>
    </w:p>
    <w:p w14:paraId="67DEC103">
      <w:pPr>
        <w:rPr>
          <w:rFonts w:ascii="黑体" w:hAnsi="黑体" w:eastAsia="黑体" w:cs="黑体"/>
          <w:b/>
          <w:color w:val="000000"/>
          <w:sz w:val="28"/>
          <w:szCs w:val="28"/>
        </w:rPr>
      </w:pPr>
    </w:p>
    <w:p w14:paraId="0CC2A670">
      <w:pPr>
        <w:rPr>
          <w:rFonts w:ascii="黑体" w:hAnsi="黑体" w:eastAsia="黑体" w:cs="黑体"/>
          <w:b/>
          <w:color w:val="000000"/>
          <w:sz w:val="28"/>
          <w:szCs w:val="28"/>
        </w:rPr>
      </w:pPr>
    </w:p>
    <w:p w14:paraId="7A5CC452">
      <w:pPr>
        <w:rPr>
          <w:rFonts w:ascii="黑体" w:hAnsi="黑体" w:eastAsia="黑体" w:cs="黑体"/>
          <w:b/>
          <w:color w:val="000000"/>
          <w:sz w:val="28"/>
          <w:szCs w:val="28"/>
        </w:rPr>
      </w:pPr>
    </w:p>
    <w:p w14:paraId="4B1549B6">
      <w:pPr>
        <w:rPr>
          <w:rFonts w:ascii="黑体" w:hAnsi="黑体" w:eastAsia="黑体" w:cs="黑体"/>
          <w:b/>
          <w:color w:val="000000"/>
          <w:sz w:val="28"/>
          <w:szCs w:val="28"/>
        </w:rPr>
      </w:pPr>
    </w:p>
    <w:p w14:paraId="4F764860">
      <w:pPr>
        <w:rPr>
          <w:rFonts w:ascii="黑体" w:hAnsi="黑体" w:eastAsia="黑体" w:cs="黑体"/>
          <w:b/>
          <w:color w:val="000000"/>
          <w:sz w:val="28"/>
          <w:szCs w:val="28"/>
        </w:rPr>
      </w:pPr>
    </w:p>
    <w:p w14:paraId="114E939D">
      <w:pPr>
        <w:rPr>
          <w:rFonts w:ascii="黑体" w:hAnsi="黑体" w:eastAsia="黑体" w:cs="黑体"/>
          <w:b/>
          <w:color w:val="000000"/>
          <w:sz w:val="28"/>
          <w:szCs w:val="28"/>
        </w:rPr>
      </w:pPr>
    </w:p>
    <w:p w14:paraId="6E9339B4">
      <w:pPr>
        <w:rPr>
          <w:rFonts w:ascii="黑体" w:hAnsi="黑体" w:eastAsia="黑体" w:cs="黑体"/>
          <w:b/>
          <w:color w:val="000000"/>
          <w:sz w:val="28"/>
          <w:szCs w:val="28"/>
        </w:rPr>
      </w:pPr>
    </w:p>
    <w:p w14:paraId="6372F957">
      <w:pPr>
        <w:rPr>
          <w:rFonts w:ascii="黑体" w:hAnsi="黑体" w:eastAsia="黑体" w:cs="黑体"/>
          <w:b/>
          <w:color w:val="000000"/>
          <w:sz w:val="28"/>
          <w:szCs w:val="28"/>
        </w:rPr>
      </w:pPr>
    </w:p>
    <w:p w14:paraId="7F98D9E1">
      <w:pPr>
        <w:rPr>
          <w:rFonts w:ascii="黑体" w:hAnsi="黑体" w:eastAsia="黑体" w:cs="黑体"/>
          <w:b/>
          <w:color w:val="000000"/>
          <w:sz w:val="28"/>
          <w:szCs w:val="28"/>
        </w:rPr>
      </w:pPr>
    </w:p>
    <w:p w14:paraId="5166C49D">
      <w:pPr>
        <w:rPr>
          <w:rFonts w:ascii="黑体" w:hAnsi="黑体" w:eastAsia="黑体" w:cs="黑体"/>
          <w:b/>
          <w:color w:val="000000"/>
          <w:sz w:val="28"/>
          <w:szCs w:val="28"/>
        </w:rPr>
      </w:pPr>
    </w:p>
    <w:p w14:paraId="1714A8D6">
      <w:pPr>
        <w:rPr>
          <w:rFonts w:ascii="黑体" w:hAnsi="黑体" w:eastAsia="黑体" w:cs="黑体"/>
          <w:b/>
          <w:color w:val="000000"/>
          <w:sz w:val="28"/>
          <w:szCs w:val="28"/>
        </w:rPr>
      </w:pPr>
    </w:p>
    <w:p w14:paraId="5E1F4497">
      <w:pPr>
        <w:rPr>
          <w:rFonts w:ascii="黑体" w:hAnsi="黑体" w:eastAsia="黑体" w:cs="黑体"/>
          <w:b/>
          <w:color w:val="000000"/>
          <w:sz w:val="28"/>
          <w:szCs w:val="28"/>
        </w:rPr>
      </w:pPr>
    </w:p>
    <w:p w14:paraId="22D73B33">
      <w:pPr>
        <w:rPr>
          <w:rFonts w:ascii="黑体" w:hAnsi="黑体" w:eastAsia="黑体" w:cs="黑体"/>
          <w:b/>
          <w:color w:val="000000"/>
          <w:sz w:val="28"/>
          <w:szCs w:val="28"/>
        </w:rPr>
      </w:pPr>
    </w:p>
    <w:p w14:paraId="6B1D0497">
      <w:pPr>
        <w:rPr>
          <w:rFonts w:ascii="黑体" w:hAnsi="黑体" w:eastAsia="黑体" w:cs="黑体"/>
          <w:b/>
          <w:color w:val="000000"/>
          <w:sz w:val="28"/>
          <w:szCs w:val="28"/>
        </w:rPr>
      </w:pPr>
    </w:p>
    <w:p w14:paraId="63345284">
      <w:pPr>
        <w:rPr>
          <w:rFonts w:ascii="黑体" w:hAnsi="黑体" w:eastAsia="黑体" w:cs="黑体"/>
          <w:b/>
          <w:color w:val="000000"/>
          <w:sz w:val="28"/>
          <w:szCs w:val="28"/>
        </w:rPr>
      </w:pPr>
    </w:p>
    <w:p w14:paraId="725915A3">
      <w:pPr>
        <w:rPr>
          <w:rFonts w:ascii="黑体" w:hAnsi="黑体" w:eastAsia="黑体" w:cs="黑体"/>
          <w:b/>
          <w:color w:val="000000"/>
          <w:sz w:val="28"/>
          <w:szCs w:val="28"/>
        </w:rPr>
      </w:pPr>
    </w:p>
    <w:p w14:paraId="2A4B2490">
      <w:pPr>
        <w:rPr>
          <w:rFonts w:ascii="黑体" w:hAnsi="黑体" w:eastAsia="黑体" w:cs="黑体"/>
          <w:b/>
          <w:color w:val="000000"/>
          <w:sz w:val="28"/>
          <w:szCs w:val="28"/>
        </w:rPr>
      </w:pPr>
    </w:p>
    <w:p w14:paraId="69E91D64">
      <w:pPr>
        <w:rPr>
          <w:rFonts w:ascii="黑体" w:hAnsi="黑体" w:eastAsia="黑体" w:cs="黑体"/>
          <w:b/>
          <w:color w:val="000000"/>
          <w:sz w:val="28"/>
          <w:szCs w:val="28"/>
        </w:rPr>
      </w:pPr>
    </w:p>
    <w:p w14:paraId="50E31F97">
      <w:pPr>
        <w:snapToGrid w:val="0"/>
        <w:spacing w:line="360" w:lineRule="auto"/>
        <w:ind w:firstLine="0" w:firstLineChars="0"/>
        <w:jc w:val="center"/>
        <w:rPr>
          <w:rFonts w:hint="default" w:ascii="Arial" w:hAnsi="Arial" w:eastAsia="黑体" w:cs="Arial"/>
          <w:color w:val="000000"/>
          <w:sz w:val="28"/>
          <w:szCs w:val="28"/>
          <w:lang w:val="en-US" w:eastAsia="zh-CN"/>
        </w:rPr>
      </w:pPr>
      <w:r>
        <w:rPr>
          <w:rFonts w:ascii="Arial" w:hAnsi="Arial" w:eastAsia="黑体" w:cs="Arial"/>
          <w:color w:val="000000"/>
          <w:sz w:val="28"/>
          <w:szCs w:val="28"/>
          <w:lang w:eastAsia="zh-CN"/>
        </w:rPr>
        <w:t>编制单位：</w:t>
      </w:r>
      <w:r>
        <w:rPr>
          <w:rFonts w:hint="eastAsia" w:ascii="Arial" w:hAnsi="Arial" w:eastAsia="黑体" w:cs="Arial"/>
          <w:color w:val="000000"/>
          <w:sz w:val="28"/>
          <w:szCs w:val="28"/>
          <w:highlight w:val="none"/>
          <w:u w:val="none"/>
          <w:lang w:eastAsia="zh-CN"/>
        </w:rPr>
        <w:t xml:space="preserve"> </w:t>
      </w:r>
      <w:r>
        <w:rPr>
          <w:rFonts w:hint="eastAsia" w:ascii="Arial" w:hAnsi="Arial" w:eastAsia="黑体" w:cs="Arial"/>
          <w:color w:val="000000"/>
          <w:sz w:val="28"/>
          <w:szCs w:val="28"/>
          <w:highlight w:val="none"/>
          <w:u w:val="none"/>
          <w:lang w:val="en-US" w:eastAsia="zh-CN"/>
        </w:rPr>
        <w:t>广东南粤建筑工程有限公司</w:t>
      </w:r>
    </w:p>
    <w:p w14:paraId="4E732F2E">
      <w:pPr>
        <w:snapToGrid w:val="0"/>
        <w:spacing w:line="360" w:lineRule="auto"/>
        <w:ind w:firstLine="0" w:firstLineChars="0"/>
        <w:jc w:val="center"/>
        <w:rPr>
          <w:rFonts w:ascii="Arial" w:hAnsi="Arial" w:eastAsia="黑体" w:cs="Arial"/>
          <w:color w:val="000000"/>
          <w:sz w:val="28"/>
          <w:szCs w:val="28"/>
          <w:u w:val="none"/>
        </w:rPr>
        <w:sectPr>
          <w:footerReference r:id="rId3" w:type="default"/>
          <w:pgSz w:w="11905" w:h="16840"/>
          <w:cols w:space="720" w:num="1"/>
        </w:sectPr>
      </w:pPr>
      <w:r>
        <w:rPr>
          <w:rFonts w:ascii="Arial" w:hAnsi="Arial" w:eastAsia="黑体" w:cs="Arial"/>
          <w:color w:val="000000"/>
          <w:sz w:val="28"/>
          <w:szCs w:val="28"/>
        </w:rPr>
        <w:t>编制日期：</w:t>
      </w:r>
      <w:r>
        <w:rPr>
          <w:rFonts w:ascii="Arial" w:hAnsi="Arial" w:eastAsia="黑体" w:cs="Arial"/>
          <w:color w:val="000000"/>
          <w:sz w:val="28"/>
          <w:szCs w:val="28"/>
          <w:u w:val="none"/>
        </w:rPr>
        <w:t xml:space="preserve"> </w:t>
      </w:r>
      <w:r>
        <w:rPr>
          <w:rFonts w:hint="eastAsia" w:ascii="Arial" w:hAnsi="Arial" w:eastAsia="黑体" w:cs="Arial"/>
          <w:color w:val="000000"/>
          <w:sz w:val="28"/>
          <w:szCs w:val="28"/>
          <w:u w:val="none"/>
          <w:lang w:val="en-US" w:eastAsia="zh-CN"/>
        </w:rPr>
        <w:t>2026</w:t>
      </w:r>
      <w:r>
        <w:rPr>
          <w:rFonts w:ascii="Arial" w:hAnsi="Arial" w:eastAsia="黑体" w:cs="Arial"/>
          <w:color w:val="000000"/>
          <w:sz w:val="28"/>
          <w:szCs w:val="28"/>
          <w:u w:val="none"/>
        </w:rPr>
        <w:t xml:space="preserve"> 年 </w:t>
      </w:r>
      <w:r>
        <w:rPr>
          <w:rFonts w:hint="eastAsia" w:ascii="Arial" w:hAnsi="Arial" w:eastAsia="黑体" w:cs="Arial"/>
          <w:color w:val="000000"/>
          <w:sz w:val="28"/>
          <w:szCs w:val="28"/>
          <w:u w:val="none"/>
          <w:lang w:val="en-US" w:eastAsia="zh-CN"/>
        </w:rPr>
        <w:t>8</w:t>
      </w:r>
      <w:r>
        <w:rPr>
          <w:rFonts w:ascii="Arial" w:hAnsi="Arial" w:eastAsia="黑体" w:cs="Arial"/>
          <w:color w:val="000000"/>
          <w:sz w:val="28"/>
          <w:szCs w:val="28"/>
          <w:u w:val="none"/>
        </w:rPr>
        <w:t xml:space="preserve"> 月</w:t>
      </w:r>
    </w:p>
    <w:p w14:paraId="4AE3E0AE">
      <w:pPr>
        <w:snapToGrid w:val="0"/>
        <w:spacing w:line="360" w:lineRule="auto"/>
        <w:ind w:firstLine="0" w:firstLineChars="0"/>
        <w:jc w:val="center"/>
        <w:rPr>
          <w:rFonts w:hint="eastAsia" w:ascii="宋体" w:hAnsi="宋体" w:cs="宋体"/>
          <w:b/>
          <w:bCs/>
          <w:color w:val="000000"/>
          <w:sz w:val="44"/>
          <w:szCs w:val="44"/>
        </w:rPr>
      </w:pPr>
    </w:p>
    <w:p w14:paraId="55B5B030">
      <w:pPr>
        <w:snapToGrid w:val="0"/>
        <w:spacing w:line="360" w:lineRule="auto"/>
        <w:ind w:firstLine="0" w:firstLineChars="0"/>
        <w:jc w:val="center"/>
        <w:rPr>
          <w:rFonts w:ascii="Arial" w:hAnsi="Arial" w:eastAsia="黑体" w:cs="Arial"/>
          <w:color w:val="000000"/>
          <w:sz w:val="28"/>
          <w:szCs w:val="28"/>
          <w:u w:val="none"/>
          <w:lang w:eastAsia="zh-CN"/>
        </w:rPr>
      </w:pPr>
      <w:r>
        <w:rPr>
          <w:rFonts w:hint="eastAsia" w:ascii="宋体" w:hAnsi="宋体" w:cs="宋体"/>
          <w:b/>
          <w:bCs/>
          <w:color w:val="000000"/>
          <w:sz w:val="44"/>
          <w:szCs w:val="44"/>
        </w:rPr>
        <w:t>目</w:t>
      </w:r>
      <w:r>
        <w:rPr>
          <w:rFonts w:hint="eastAsia" w:ascii="宋体" w:hAnsi="宋体" w:cs="宋体"/>
          <w:b/>
          <w:bCs/>
          <w:color w:val="000000"/>
          <w:sz w:val="44"/>
          <w:szCs w:val="44"/>
          <w:lang w:eastAsia="zh-CN"/>
        </w:rPr>
        <w:t xml:space="preserve">  </w:t>
      </w:r>
      <w:r>
        <w:rPr>
          <w:rFonts w:hint="eastAsia" w:ascii="宋体" w:hAnsi="宋体" w:cs="宋体"/>
          <w:b/>
          <w:bCs/>
          <w:color w:val="000000"/>
          <w:sz w:val="44"/>
          <w:szCs w:val="44"/>
        </w:rPr>
        <w:t>录</w:t>
      </w:r>
    </w:p>
    <w:sdt>
      <w:sdtPr>
        <w:rPr>
          <w:rFonts w:ascii="宋体" w:hAnsi="宋体" w:eastAsia="宋体" w:cstheme="minorBidi"/>
          <w:sz w:val="21"/>
          <w:szCs w:val="22"/>
        </w:rPr>
        <w:id w:val="147461994"/>
        <w15:color w:val="DBDBDB"/>
        <w:docPartObj>
          <w:docPartGallery w:val="Table of Contents"/>
          <w:docPartUnique/>
        </w:docPartObj>
      </w:sdtPr>
      <w:sdtEndPr>
        <w:rPr>
          <w:rFonts w:asciiTheme="minorHAnsi" w:hAnsiTheme="minorHAnsi" w:eastAsiaTheme="minorEastAsia" w:cstheme="minorBidi"/>
          <w:sz w:val="21"/>
          <w:szCs w:val="22"/>
        </w:rPr>
      </w:sdtEndPr>
      <w:sdtContent>
        <w:p w14:paraId="416F16CA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</w:p>
        <w:p w14:paraId="5915FC4F">
          <w:pPr>
            <w:pStyle w:val="5"/>
            <w:tabs>
              <w:tab w:val="right" w:leader="hyphen" w:pos="8305"/>
            </w:tabs>
            <w:rPr>
              <w:sz w:val="28"/>
              <w:szCs w:val="32"/>
            </w:rPr>
          </w:pPr>
          <w:r>
            <w:rPr>
              <w:rFonts w:asciiTheme="minorHAnsi" w:hAnsiTheme="minorHAnsi" w:eastAsiaTheme="minorEastAsia" w:cstheme="minorBidi"/>
              <w:sz w:val="52"/>
              <w:szCs w:val="56"/>
            </w:rPr>
            <w:fldChar w:fldCharType="begin"/>
          </w:r>
          <w:r>
            <w:rPr>
              <w:rFonts w:asciiTheme="minorHAnsi" w:hAnsiTheme="minorHAnsi" w:eastAsiaTheme="minorEastAsia" w:cstheme="minorBidi"/>
              <w:sz w:val="52"/>
              <w:szCs w:val="56"/>
            </w:rPr>
            <w:instrText xml:space="preserve">TOC \o "1-3" \h \u </w:instrText>
          </w:r>
          <w:r>
            <w:rPr>
              <w:rFonts w:asciiTheme="minorHAnsi" w:hAnsiTheme="minorHAnsi" w:eastAsiaTheme="minorEastAsia" w:cstheme="minorBidi"/>
              <w:sz w:val="52"/>
              <w:szCs w:val="56"/>
            </w:rPr>
            <w:fldChar w:fldCharType="separate"/>
          </w:r>
        </w:p>
        <w:p w14:paraId="02CF1BC1">
          <w:pPr>
            <w:pStyle w:val="5"/>
            <w:tabs>
              <w:tab w:val="right" w:leader="hyphen" w:pos="8305"/>
            </w:tabs>
            <w:rPr>
              <w:sz w:val="28"/>
              <w:szCs w:val="32"/>
            </w:rPr>
          </w:pPr>
          <w:r>
            <w:rPr>
              <w:rFonts w:asciiTheme="minorHAnsi" w:hAnsiTheme="minorHAnsi" w:eastAsiaTheme="minorEastAsia" w:cstheme="minorBidi"/>
              <w:sz w:val="28"/>
              <w:szCs w:val="56"/>
            </w:rPr>
            <w:fldChar w:fldCharType="begin"/>
          </w:r>
          <w:r>
            <w:rPr>
              <w:rFonts w:asciiTheme="minorHAnsi" w:hAnsiTheme="minorHAnsi" w:eastAsiaTheme="minorEastAsia" w:cstheme="minorBidi"/>
              <w:sz w:val="28"/>
              <w:szCs w:val="56"/>
            </w:rPr>
            <w:instrText xml:space="preserve"> HYPERLINK \l _Toc17272 </w:instrText>
          </w:r>
          <w:r>
            <w:rPr>
              <w:rFonts w:asciiTheme="minorHAnsi" w:hAnsiTheme="minorHAnsi" w:eastAsiaTheme="minorEastAsia" w:cstheme="minorBidi"/>
              <w:sz w:val="28"/>
              <w:szCs w:val="56"/>
            </w:rPr>
            <w:fldChar w:fldCharType="separate"/>
          </w:r>
          <w:r>
            <w:rPr>
              <w:rFonts w:hint="eastAsia" w:ascii="Arial" w:hAnsi="Arial" w:eastAsia="等线" w:cs="Arial"/>
              <w:sz w:val="28"/>
              <w:szCs w:val="32"/>
              <w:lang w:val="en-US" w:eastAsia="zh-CN"/>
            </w:rPr>
            <w:t>一、</w:t>
          </w:r>
          <w:r>
            <w:rPr>
              <w:rFonts w:ascii="Arial" w:hAnsi="Arial" w:eastAsia="等线" w:cs="Arial"/>
              <w:sz w:val="28"/>
              <w:szCs w:val="32"/>
            </w:rPr>
            <w:t xml:space="preserve"> 项目概况</w:t>
          </w:r>
          <w:r>
            <w:rPr>
              <w:sz w:val="28"/>
              <w:szCs w:val="32"/>
            </w:rPr>
            <w:tab/>
          </w:r>
          <w:r>
            <w:rPr>
              <w:rFonts w:hint="eastAsia"/>
              <w:sz w:val="28"/>
              <w:szCs w:val="32"/>
              <w:lang w:val="en-US" w:eastAsia="zh-CN"/>
            </w:rPr>
            <w:t>1</w:t>
          </w:r>
          <w:r>
            <w:rPr>
              <w:rFonts w:asciiTheme="minorHAnsi" w:hAnsiTheme="minorHAnsi" w:eastAsiaTheme="minorEastAsia" w:cstheme="minorBidi"/>
              <w:sz w:val="28"/>
              <w:szCs w:val="56"/>
            </w:rPr>
            <w:fldChar w:fldCharType="end"/>
          </w:r>
        </w:p>
        <w:p w14:paraId="75CC1ADE">
          <w:pPr>
            <w:pStyle w:val="7"/>
            <w:tabs>
              <w:tab w:val="right" w:leader="hyphen" w:pos="8305"/>
            </w:tabs>
            <w:ind w:left="0" w:leftChars="0" w:firstLine="0" w:firstLineChars="0"/>
            <w:rPr>
              <w:sz w:val="28"/>
              <w:szCs w:val="32"/>
            </w:rPr>
          </w:pPr>
          <w:r>
            <w:rPr>
              <w:rFonts w:asciiTheme="minorHAnsi" w:hAnsiTheme="minorHAnsi" w:eastAsiaTheme="minorEastAsia" w:cstheme="minorBidi"/>
              <w:sz w:val="28"/>
              <w:szCs w:val="56"/>
            </w:rPr>
            <w:fldChar w:fldCharType="begin"/>
          </w:r>
          <w:r>
            <w:rPr>
              <w:rFonts w:asciiTheme="minorHAnsi" w:hAnsiTheme="minorHAnsi" w:eastAsiaTheme="minorEastAsia" w:cstheme="minorBidi"/>
              <w:sz w:val="28"/>
              <w:szCs w:val="56"/>
            </w:rPr>
            <w:instrText xml:space="preserve"> HYPERLINK \l _Toc4521 </w:instrText>
          </w:r>
          <w:r>
            <w:rPr>
              <w:rFonts w:asciiTheme="minorHAnsi" w:hAnsiTheme="minorHAnsi" w:eastAsiaTheme="minorEastAsia" w:cstheme="minorBidi"/>
              <w:sz w:val="28"/>
              <w:szCs w:val="56"/>
            </w:rPr>
            <w:fldChar w:fldCharType="separate"/>
          </w:r>
          <w:r>
            <w:rPr>
              <w:rFonts w:ascii="Arial" w:hAnsi="Arial" w:eastAsia="等线" w:cs="Arial"/>
              <w:sz w:val="28"/>
              <w:szCs w:val="32"/>
            </w:rPr>
            <w:t>二、编制依据与技术标准</w:t>
          </w:r>
          <w:r>
            <w:rPr>
              <w:sz w:val="28"/>
              <w:szCs w:val="32"/>
            </w:rPr>
            <w:tab/>
          </w:r>
          <w:r>
            <w:rPr>
              <w:rFonts w:hint="eastAsia"/>
              <w:sz w:val="28"/>
              <w:szCs w:val="32"/>
              <w:lang w:val="en-US" w:eastAsia="zh-CN"/>
            </w:rPr>
            <w:t>1</w:t>
          </w:r>
          <w:r>
            <w:rPr>
              <w:rFonts w:asciiTheme="minorHAnsi" w:hAnsiTheme="minorHAnsi" w:eastAsiaTheme="minorEastAsia" w:cstheme="minorBidi"/>
              <w:sz w:val="28"/>
              <w:szCs w:val="56"/>
            </w:rPr>
            <w:fldChar w:fldCharType="end"/>
          </w:r>
        </w:p>
        <w:p w14:paraId="08EF77C7">
          <w:pPr>
            <w:pStyle w:val="7"/>
            <w:tabs>
              <w:tab w:val="right" w:leader="hyphen" w:pos="8305"/>
            </w:tabs>
            <w:ind w:left="0" w:leftChars="0" w:firstLine="0" w:firstLineChars="0"/>
            <w:rPr>
              <w:sz w:val="28"/>
              <w:szCs w:val="32"/>
            </w:rPr>
          </w:pPr>
          <w:r>
            <w:rPr>
              <w:rFonts w:asciiTheme="minorHAnsi" w:hAnsiTheme="minorHAnsi" w:eastAsiaTheme="minorEastAsia" w:cstheme="minorBidi"/>
              <w:sz w:val="28"/>
              <w:szCs w:val="56"/>
            </w:rPr>
            <w:fldChar w:fldCharType="begin"/>
          </w:r>
          <w:r>
            <w:rPr>
              <w:rFonts w:asciiTheme="minorHAnsi" w:hAnsiTheme="minorHAnsi" w:eastAsiaTheme="minorEastAsia" w:cstheme="minorBidi"/>
              <w:sz w:val="28"/>
              <w:szCs w:val="56"/>
            </w:rPr>
            <w:instrText xml:space="preserve"> HYPERLINK \l _Toc13767 </w:instrText>
          </w:r>
          <w:r>
            <w:rPr>
              <w:rFonts w:asciiTheme="minorHAnsi" w:hAnsiTheme="minorHAnsi" w:eastAsiaTheme="minorEastAsia" w:cstheme="minorBidi"/>
              <w:sz w:val="28"/>
              <w:szCs w:val="56"/>
            </w:rPr>
            <w:fldChar w:fldCharType="separate"/>
          </w:r>
          <w:r>
            <w:rPr>
              <w:rFonts w:ascii="Arial" w:hAnsi="Arial" w:eastAsia="等线" w:cs="Arial"/>
              <w:sz w:val="28"/>
              <w:szCs w:val="32"/>
            </w:rPr>
            <w:t>三、管道设计核心参数</w:t>
          </w:r>
          <w:r>
            <w:rPr>
              <w:sz w:val="28"/>
              <w:szCs w:val="32"/>
            </w:rPr>
            <w:tab/>
          </w:r>
          <w:r>
            <w:rPr>
              <w:rFonts w:hint="eastAsia"/>
              <w:sz w:val="28"/>
              <w:szCs w:val="32"/>
              <w:lang w:val="en-US" w:eastAsia="zh-CN"/>
            </w:rPr>
            <w:t>1</w:t>
          </w:r>
          <w:r>
            <w:rPr>
              <w:rFonts w:asciiTheme="minorHAnsi" w:hAnsiTheme="minorHAnsi" w:eastAsiaTheme="minorEastAsia" w:cstheme="minorBidi"/>
              <w:sz w:val="28"/>
              <w:szCs w:val="56"/>
            </w:rPr>
            <w:fldChar w:fldCharType="end"/>
          </w:r>
        </w:p>
        <w:p w14:paraId="7021B53D">
          <w:pPr>
            <w:pStyle w:val="7"/>
            <w:tabs>
              <w:tab w:val="right" w:leader="hyphen" w:pos="8305"/>
            </w:tabs>
            <w:ind w:left="0" w:leftChars="0" w:firstLine="0" w:firstLineChars="0"/>
            <w:rPr>
              <w:sz w:val="28"/>
              <w:szCs w:val="32"/>
            </w:rPr>
          </w:pPr>
          <w:r>
            <w:rPr>
              <w:rFonts w:asciiTheme="minorHAnsi" w:hAnsiTheme="minorHAnsi" w:eastAsiaTheme="minorEastAsia" w:cstheme="minorBidi"/>
              <w:sz w:val="28"/>
              <w:szCs w:val="56"/>
            </w:rPr>
            <w:fldChar w:fldCharType="begin"/>
          </w:r>
          <w:r>
            <w:rPr>
              <w:rFonts w:asciiTheme="minorHAnsi" w:hAnsiTheme="minorHAnsi" w:eastAsiaTheme="minorEastAsia" w:cstheme="minorBidi"/>
              <w:sz w:val="28"/>
              <w:szCs w:val="56"/>
            </w:rPr>
            <w:instrText xml:space="preserve"> HYPERLINK \l _Toc29064 </w:instrText>
          </w:r>
          <w:r>
            <w:rPr>
              <w:rFonts w:asciiTheme="minorHAnsi" w:hAnsiTheme="minorHAnsi" w:eastAsiaTheme="minorEastAsia" w:cstheme="minorBidi"/>
              <w:sz w:val="28"/>
              <w:szCs w:val="56"/>
            </w:rPr>
            <w:fldChar w:fldCharType="separate"/>
          </w:r>
          <w:r>
            <w:rPr>
              <w:rFonts w:ascii="Arial" w:hAnsi="Arial" w:eastAsia="等线" w:cs="Arial"/>
              <w:sz w:val="28"/>
              <w:szCs w:val="32"/>
            </w:rPr>
            <w:t>四、主要技术工作任务</w:t>
          </w:r>
          <w:r>
            <w:rPr>
              <w:sz w:val="28"/>
              <w:szCs w:val="32"/>
            </w:rPr>
            <w:tab/>
          </w:r>
          <w:r>
            <w:rPr>
              <w:sz w:val="28"/>
              <w:szCs w:val="32"/>
            </w:rPr>
            <w:fldChar w:fldCharType="begin"/>
          </w:r>
          <w:r>
            <w:rPr>
              <w:sz w:val="28"/>
              <w:szCs w:val="32"/>
            </w:rPr>
            <w:instrText xml:space="preserve"> PAGEREF _Toc29064 \h </w:instrText>
          </w:r>
          <w:r>
            <w:rPr>
              <w:sz w:val="28"/>
              <w:szCs w:val="32"/>
            </w:rPr>
            <w:fldChar w:fldCharType="separate"/>
          </w:r>
          <w:r>
            <w:rPr>
              <w:sz w:val="28"/>
              <w:szCs w:val="32"/>
            </w:rPr>
            <w:t>3</w:t>
          </w:r>
          <w:r>
            <w:rPr>
              <w:sz w:val="28"/>
              <w:szCs w:val="32"/>
            </w:rPr>
            <w:fldChar w:fldCharType="end"/>
          </w:r>
          <w:r>
            <w:rPr>
              <w:rFonts w:asciiTheme="minorHAnsi" w:hAnsiTheme="minorHAnsi" w:eastAsiaTheme="minorEastAsia" w:cstheme="minorBidi"/>
              <w:sz w:val="28"/>
              <w:szCs w:val="56"/>
            </w:rPr>
            <w:fldChar w:fldCharType="end"/>
          </w:r>
        </w:p>
        <w:p w14:paraId="2C402551">
          <w:pPr>
            <w:pStyle w:val="7"/>
            <w:tabs>
              <w:tab w:val="right" w:leader="hyphen" w:pos="8305"/>
            </w:tabs>
            <w:ind w:left="0" w:leftChars="0" w:firstLine="0" w:firstLineChars="0"/>
            <w:rPr>
              <w:sz w:val="28"/>
              <w:szCs w:val="32"/>
            </w:rPr>
          </w:pPr>
          <w:r>
            <w:rPr>
              <w:rFonts w:asciiTheme="minorHAnsi" w:hAnsiTheme="minorHAnsi" w:eastAsiaTheme="minorEastAsia" w:cstheme="minorBidi"/>
              <w:sz w:val="28"/>
              <w:szCs w:val="56"/>
            </w:rPr>
            <w:fldChar w:fldCharType="begin"/>
          </w:r>
          <w:r>
            <w:rPr>
              <w:rFonts w:asciiTheme="minorHAnsi" w:hAnsiTheme="minorHAnsi" w:eastAsiaTheme="minorEastAsia" w:cstheme="minorBidi"/>
              <w:sz w:val="28"/>
              <w:szCs w:val="56"/>
            </w:rPr>
            <w:instrText xml:space="preserve"> HYPERLINK \l _Toc32647 </w:instrText>
          </w:r>
          <w:r>
            <w:rPr>
              <w:rFonts w:asciiTheme="minorHAnsi" w:hAnsiTheme="minorHAnsi" w:eastAsiaTheme="minorEastAsia" w:cstheme="minorBidi"/>
              <w:sz w:val="28"/>
              <w:szCs w:val="56"/>
            </w:rPr>
            <w:fldChar w:fldCharType="separate"/>
          </w:r>
          <w:r>
            <w:rPr>
              <w:rFonts w:ascii="Arial" w:hAnsi="Arial" w:eastAsia="等线" w:cs="Arial"/>
              <w:sz w:val="28"/>
              <w:szCs w:val="32"/>
            </w:rPr>
            <w:t>五、质量技术要求</w:t>
          </w:r>
          <w:r>
            <w:rPr>
              <w:sz w:val="28"/>
              <w:szCs w:val="32"/>
            </w:rPr>
            <w:tab/>
          </w:r>
          <w:r>
            <w:rPr>
              <w:sz w:val="28"/>
              <w:szCs w:val="32"/>
            </w:rPr>
            <w:fldChar w:fldCharType="begin"/>
          </w:r>
          <w:r>
            <w:rPr>
              <w:sz w:val="28"/>
              <w:szCs w:val="32"/>
            </w:rPr>
            <w:instrText xml:space="preserve"> PAGEREF _Toc32647 \h </w:instrText>
          </w:r>
          <w:r>
            <w:rPr>
              <w:sz w:val="28"/>
              <w:szCs w:val="32"/>
            </w:rPr>
            <w:fldChar w:fldCharType="separate"/>
          </w:r>
          <w:r>
            <w:rPr>
              <w:sz w:val="28"/>
              <w:szCs w:val="32"/>
            </w:rPr>
            <w:t>5</w:t>
          </w:r>
          <w:r>
            <w:rPr>
              <w:sz w:val="28"/>
              <w:szCs w:val="32"/>
            </w:rPr>
            <w:fldChar w:fldCharType="end"/>
          </w:r>
          <w:r>
            <w:rPr>
              <w:rFonts w:asciiTheme="minorHAnsi" w:hAnsiTheme="minorHAnsi" w:eastAsiaTheme="minorEastAsia" w:cstheme="minorBidi"/>
              <w:sz w:val="28"/>
              <w:szCs w:val="56"/>
            </w:rPr>
            <w:fldChar w:fldCharType="end"/>
          </w:r>
        </w:p>
        <w:p w14:paraId="5D51A6F1">
          <w:pPr>
            <w:pStyle w:val="7"/>
            <w:tabs>
              <w:tab w:val="right" w:leader="hyphen" w:pos="8305"/>
            </w:tabs>
            <w:ind w:left="0" w:leftChars="0" w:firstLine="0" w:firstLineChars="0"/>
            <w:rPr>
              <w:sz w:val="28"/>
              <w:szCs w:val="32"/>
            </w:rPr>
          </w:pPr>
          <w:r>
            <w:rPr>
              <w:rFonts w:asciiTheme="minorHAnsi" w:hAnsiTheme="minorHAnsi" w:eastAsiaTheme="minorEastAsia" w:cstheme="minorBidi"/>
              <w:sz w:val="28"/>
              <w:szCs w:val="56"/>
            </w:rPr>
            <w:fldChar w:fldCharType="begin"/>
          </w:r>
          <w:r>
            <w:rPr>
              <w:rFonts w:asciiTheme="minorHAnsi" w:hAnsiTheme="minorHAnsi" w:eastAsiaTheme="minorEastAsia" w:cstheme="minorBidi"/>
              <w:sz w:val="28"/>
              <w:szCs w:val="56"/>
            </w:rPr>
            <w:instrText xml:space="preserve"> HYPERLINK \l _Toc4890 </w:instrText>
          </w:r>
          <w:r>
            <w:rPr>
              <w:rFonts w:asciiTheme="minorHAnsi" w:hAnsiTheme="minorHAnsi" w:eastAsiaTheme="minorEastAsia" w:cstheme="minorBidi"/>
              <w:sz w:val="28"/>
              <w:szCs w:val="56"/>
            </w:rPr>
            <w:fldChar w:fldCharType="separate"/>
          </w:r>
          <w:r>
            <w:rPr>
              <w:rFonts w:ascii="Arial" w:hAnsi="Arial" w:eastAsia="等线" w:cs="Arial"/>
              <w:sz w:val="28"/>
              <w:szCs w:val="32"/>
            </w:rPr>
            <w:t>六、安全与文明施工技术要求</w:t>
          </w:r>
          <w:r>
            <w:rPr>
              <w:sz w:val="28"/>
              <w:szCs w:val="32"/>
            </w:rPr>
            <w:tab/>
          </w:r>
          <w:r>
            <w:rPr>
              <w:sz w:val="28"/>
              <w:szCs w:val="32"/>
            </w:rPr>
            <w:fldChar w:fldCharType="begin"/>
          </w:r>
          <w:r>
            <w:rPr>
              <w:sz w:val="28"/>
              <w:szCs w:val="32"/>
            </w:rPr>
            <w:instrText xml:space="preserve"> PAGEREF _Toc4890 \h </w:instrText>
          </w:r>
          <w:r>
            <w:rPr>
              <w:sz w:val="28"/>
              <w:szCs w:val="32"/>
            </w:rPr>
            <w:fldChar w:fldCharType="separate"/>
          </w:r>
          <w:r>
            <w:rPr>
              <w:sz w:val="28"/>
              <w:szCs w:val="32"/>
            </w:rPr>
            <w:t>5</w:t>
          </w:r>
          <w:r>
            <w:rPr>
              <w:sz w:val="28"/>
              <w:szCs w:val="32"/>
            </w:rPr>
            <w:fldChar w:fldCharType="end"/>
          </w:r>
          <w:r>
            <w:rPr>
              <w:rFonts w:asciiTheme="minorHAnsi" w:hAnsiTheme="minorHAnsi" w:eastAsiaTheme="minorEastAsia" w:cstheme="minorBidi"/>
              <w:sz w:val="28"/>
              <w:szCs w:val="56"/>
            </w:rPr>
            <w:fldChar w:fldCharType="end"/>
          </w:r>
        </w:p>
        <w:p w14:paraId="30996CA9">
          <w:pPr>
            <w:pStyle w:val="7"/>
            <w:tabs>
              <w:tab w:val="right" w:leader="hyphen" w:pos="8305"/>
            </w:tabs>
            <w:ind w:left="0" w:leftChars="0" w:firstLine="0" w:firstLineChars="0"/>
            <w:rPr>
              <w:sz w:val="28"/>
              <w:szCs w:val="32"/>
            </w:rPr>
          </w:pPr>
          <w:r>
            <w:rPr>
              <w:rFonts w:asciiTheme="minorHAnsi" w:hAnsiTheme="minorHAnsi" w:eastAsiaTheme="minorEastAsia" w:cstheme="minorBidi"/>
              <w:sz w:val="28"/>
              <w:szCs w:val="56"/>
            </w:rPr>
            <w:fldChar w:fldCharType="begin"/>
          </w:r>
          <w:r>
            <w:rPr>
              <w:rFonts w:asciiTheme="minorHAnsi" w:hAnsiTheme="minorHAnsi" w:eastAsiaTheme="minorEastAsia" w:cstheme="minorBidi"/>
              <w:sz w:val="28"/>
              <w:szCs w:val="56"/>
            </w:rPr>
            <w:instrText xml:space="preserve"> HYPERLINK \l _Toc2007 </w:instrText>
          </w:r>
          <w:r>
            <w:rPr>
              <w:rFonts w:asciiTheme="minorHAnsi" w:hAnsiTheme="minorHAnsi" w:eastAsiaTheme="minorEastAsia" w:cstheme="minorBidi"/>
              <w:sz w:val="28"/>
              <w:szCs w:val="56"/>
            </w:rPr>
            <w:fldChar w:fldCharType="separate"/>
          </w:r>
          <w:r>
            <w:rPr>
              <w:rFonts w:ascii="Arial" w:hAnsi="Arial" w:eastAsia="等线" w:cs="Arial"/>
              <w:sz w:val="28"/>
              <w:szCs w:val="32"/>
            </w:rPr>
            <w:t>七、进度管控要求</w:t>
          </w:r>
          <w:r>
            <w:rPr>
              <w:sz w:val="28"/>
              <w:szCs w:val="32"/>
            </w:rPr>
            <w:tab/>
          </w:r>
          <w:r>
            <w:rPr>
              <w:sz w:val="28"/>
              <w:szCs w:val="32"/>
            </w:rPr>
            <w:fldChar w:fldCharType="begin"/>
          </w:r>
          <w:r>
            <w:rPr>
              <w:sz w:val="28"/>
              <w:szCs w:val="32"/>
            </w:rPr>
            <w:instrText xml:space="preserve"> PAGEREF _Toc2007 \h </w:instrText>
          </w:r>
          <w:r>
            <w:rPr>
              <w:sz w:val="28"/>
              <w:szCs w:val="32"/>
            </w:rPr>
            <w:fldChar w:fldCharType="separate"/>
          </w:r>
          <w:r>
            <w:rPr>
              <w:sz w:val="28"/>
              <w:szCs w:val="32"/>
            </w:rPr>
            <w:t>5</w:t>
          </w:r>
          <w:r>
            <w:rPr>
              <w:sz w:val="28"/>
              <w:szCs w:val="32"/>
            </w:rPr>
            <w:fldChar w:fldCharType="end"/>
          </w:r>
          <w:r>
            <w:rPr>
              <w:rFonts w:asciiTheme="minorHAnsi" w:hAnsiTheme="minorHAnsi" w:eastAsiaTheme="minorEastAsia" w:cstheme="minorBidi"/>
              <w:sz w:val="28"/>
              <w:szCs w:val="56"/>
            </w:rPr>
            <w:fldChar w:fldCharType="end"/>
          </w:r>
        </w:p>
        <w:p w14:paraId="0ABDBCCA">
          <w:pPr>
            <w:pStyle w:val="7"/>
            <w:tabs>
              <w:tab w:val="right" w:leader="hyphen" w:pos="8305"/>
            </w:tabs>
            <w:ind w:left="0" w:leftChars="0" w:firstLine="0" w:firstLineChars="0"/>
            <w:rPr>
              <w:sz w:val="28"/>
              <w:szCs w:val="32"/>
            </w:rPr>
          </w:pPr>
          <w:r>
            <w:rPr>
              <w:rFonts w:asciiTheme="minorHAnsi" w:hAnsiTheme="minorHAnsi" w:eastAsiaTheme="minorEastAsia" w:cstheme="minorBidi"/>
              <w:sz w:val="28"/>
              <w:szCs w:val="56"/>
            </w:rPr>
            <w:fldChar w:fldCharType="begin"/>
          </w:r>
          <w:r>
            <w:rPr>
              <w:rFonts w:asciiTheme="minorHAnsi" w:hAnsiTheme="minorHAnsi" w:eastAsiaTheme="minorEastAsia" w:cstheme="minorBidi"/>
              <w:sz w:val="28"/>
              <w:szCs w:val="56"/>
            </w:rPr>
            <w:instrText xml:space="preserve"> HYPERLINK \l _Toc26804 </w:instrText>
          </w:r>
          <w:r>
            <w:rPr>
              <w:rFonts w:asciiTheme="minorHAnsi" w:hAnsiTheme="minorHAnsi" w:eastAsiaTheme="minorEastAsia" w:cstheme="minorBidi"/>
              <w:sz w:val="28"/>
              <w:szCs w:val="56"/>
            </w:rPr>
            <w:fldChar w:fldCharType="separate"/>
          </w:r>
          <w:r>
            <w:rPr>
              <w:rFonts w:ascii="Arial" w:hAnsi="Arial" w:eastAsia="等线" w:cs="Arial"/>
              <w:sz w:val="28"/>
              <w:szCs w:val="32"/>
            </w:rPr>
            <w:t>八、验收与移交要求</w:t>
          </w:r>
          <w:r>
            <w:rPr>
              <w:sz w:val="28"/>
              <w:szCs w:val="32"/>
            </w:rPr>
            <w:tab/>
          </w:r>
          <w:r>
            <w:rPr>
              <w:sz w:val="28"/>
              <w:szCs w:val="32"/>
            </w:rPr>
            <w:fldChar w:fldCharType="begin"/>
          </w:r>
          <w:r>
            <w:rPr>
              <w:sz w:val="28"/>
              <w:szCs w:val="32"/>
            </w:rPr>
            <w:instrText xml:space="preserve"> PAGEREF _Toc26804 \h </w:instrText>
          </w:r>
          <w:r>
            <w:rPr>
              <w:sz w:val="28"/>
              <w:szCs w:val="32"/>
            </w:rPr>
            <w:fldChar w:fldCharType="separate"/>
          </w:r>
          <w:r>
            <w:rPr>
              <w:sz w:val="28"/>
              <w:szCs w:val="32"/>
            </w:rPr>
            <w:t>6</w:t>
          </w:r>
          <w:r>
            <w:rPr>
              <w:sz w:val="28"/>
              <w:szCs w:val="32"/>
            </w:rPr>
            <w:fldChar w:fldCharType="end"/>
          </w:r>
          <w:r>
            <w:rPr>
              <w:rFonts w:asciiTheme="minorHAnsi" w:hAnsiTheme="minorHAnsi" w:eastAsiaTheme="minorEastAsia" w:cstheme="minorBidi"/>
              <w:sz w:val="28"/>
              <w:szCs w:val="56"/>
            </w:rPr>
            <w:fldChar w:fldCharType="end"/>
          </w:r>
        </w:p>
        <w:p w14:paraId="790CF154">
          <w:pPr>
            <w:pStyle w:val="7"/>
            <w:tabs>
              <w:tab w:val="right" w:leader="hyphen" w:pos="8305"/>
            </w:tabs>
            <w:ind w:left="0" w:leftChars="0" w:firstLine="0" w:firstLineChars="0"/>
            <w:rPr>
              <w:sz w:val="28"/>
              <w:szCs w:val="32"/>
            </w:rPr>
          </w:pPr>
          <w:r>
            <w:rPr>
              <w:rFonts w:asciiTheme="minorHAnsi" w:hAnsiTheme="minorHAnsi" w:eastAsiaTheme="minorEastAsia" w:cstheme="minorBidi"/>
              <w:sz w:val="28"/>
              <w:szCs w:val="56"/>
            </w:rPr>
            <w:fldChar w:fldCharType="begin"/>
          </w:r>
          <w:r>
            <w:rPr>
              <w:rFonts w:asciiTheme="minorHAnsi" w:hAnsiTheme="minorHAnsi" w:eastAsiaTheme="minorEastAsia" w:cstheme="minorBidi"/>
              <w:sz w:val="28"/>
              <w:szCs w:val="56"/>
            </w:rPr>
            <w:instrText xml:space="preserve"> HYPERLINK \l _Toc24726 </w:instrText>
          </w:r>
          <w:r>
            <w:rPr>
              <w:rFonts w:asciiTheme="minorHAnsi" w:hAnsiTheme="minorHAnsi" w:eastAsiaTheme="minorEastAsia" w:cstheme="minorBidi"/>
              <w:sz w:val="28"/>
              <w:szCs w:val="56"/>
            </w:rPr>
            <w:fldChar w:fldCharType="separate"/>
          </w:r>
          <w:r>
            <w:rPr>
              <w:rFonts w:ascii="Arial" w:hAnsi="Arial" w:eastAsia="等线" w:cs="Arial"/>
              <w:sz w:val="28"/>
              <w:szCs w:val="32"/>
            </w:rPr>
            <w:t>九、技术责任与附则</w:t>
          </w:r>
          <w:r>
            <w:rPr>
              <w:sz w:val="28"/>
              <w:szCs w:val="32"/>
            </w:rPr>
            <w:tab/>
          </w:r>
          <w:r>
            <w:rPr>
              <w:sz w:val="28"/>
              <w:szCs w:val="32"/>
            </w:rPr>
            <w:fldChar w:fldCharType="begin"/>
          </w:r>
          <w:r>
            <w:rPr>
              <w:sz w:val="28"/>
              <w:szCs w:val="32"/>
            </w:rPr>
            <w:instrText xml:space="preserve"> PAGEREF _Toc24726 \h </w:instrText>
          </w:r>
          <w:r>
            <w:rPr>
              <w:sz w:val="28"/>
              <w:szCs w:val="32"/>
            </w:rPr>
            <w:fldChar w:fldCharType="separate"/>
          </w:r>
          <w:r>
            <w:rPr>
              <w:sz w:val="28"/>
              <w:szCs w:val="32"/>
            </w:rPr>
            <w:t>6</w:t>
          </w:r>
          <w:r>
            <w:rPr>
              <w:sz w:val="28"/>
              <w:szCs w:val="32"/>
            </w:rPr>
            <w:fldChar w:fldCharType="end"/>
          </w:r>
          <w:r>
            <w:rPr>
              <w:rFonts w:asciiTheme="minorHAnsi" w:hAnsiTheme="minorHAnsi" w:eastAsiaTheme="minorEastAsia" w:cstheme="minorBidi"/>
              <w:sz w:val="28"/>
              <w:szCs w:val="56"/>
            </w:rPr>
            <w:fldChar w:fldCharType="end"/>
          </w:r>
        </w:p>
        <w:p w14:paraId="2C7F25C6">
          <w:pPr>
            <w:rPr>
              <w:rFonts w:asciiTheme="minorHAnsi" w:hAnsiTheme="minorHAnsi" w:eastAsiaTheme="minorEastAsia" w:cstheme="minorBidi"/>
              <w:sz w:val="21"/>
              <w:szCs w:val="22"/>
            </w:rPr>
          </w:pPr>
          <w:r>
            <w:rPr>
              <w:rFonts w:asciiTheme="minorHAnsi" w:hAnsiTheme="minorHAnsi" w:eastAsiaTheme="minorEastAsia" w:cstheme="minorBidi"/>
              <w:sz w:val="28"/>
              <w:szCs w:val="56"/>
            </w:rPr>
            <w:fldChar w:fldCharType="end"/>
          </w:r>
        </w:p>
      </w:sdtContent>
    </w:sdt>
    <w:p w14:paraId="67FB579E">
      <w:pPr>
        <w:rPr>
          <w:rFonts w:asciiTheme="minorHAnsi" w:hAnsiTheme="minorHAnsi" w:eastAsiaTheme="minorEastAsia" w:cstheme="minorBidi"/>
          <w:sz w:val="21"/>
          <w:szCs w:val="22"/>
        </w:rPr>
      </w:pPr>
    </w:p>
    <w:p w14:paraId="357911E8"/>
    <w:p w14:paraId="7555290C"/>
    <w:p w14:paraId="02000A5A"/>
    <w:p w14:paraId="0B08860C"/>
    <w:p w14:paraId="78E9A066"/>
    <w:p w14:paraId="5BA790D1"/>
    <w:p w14:paraId="50C22078"/>
    <w:p w14:paraId="48D62A8C"/>
    <w:p w14:paraId="5DDF7F20"/>
    <w:p w14:paraId="59DC793F"/>
    <w:p w14:paraId="7EC18534"/>
    <w:p w14:paraId="3EED1FFC"/>
    <w:p w14:paraId="70B06747"/>
    <w:p w14:paraId="59D32145"/>
    <w:p w14:paraId="086712A5"/>
    <w:p w14:paraId="7FD389FE"/>
    <w:p w14:paraId="404E8857"/>
    <w:p w14:paraId="3BD0EB4F"/>
    <w:p w14:paraId="1F6E5F58"/>
    <w:p w14:paraId="33698A0E"/>
    <w:p w14:paraId="729B7CE5"/>
    <w:p w14:paraId="71D1CAC9"/>
    <w:p w14:paraId="4E6250A7"/>
    <w:p w14:paraId="58C2860B"/>
    <w:p w14:paraId="7D190DA3"/>
    <w:p w14:paraId="49C94155"/>
    <w:p w14:paraId="424A823D"/>
    <w:p w14:paraId="23E1933C"/>
    <w:p w14:paraId="2C327164"/>
    <w:p w14:paraId="6438D6AB"/>
    <w:p w14:paraId="318477F1">
      <w:pPr>
        <w:spacing w:before="320" w:after="120" w:line="288" w:lineRule="auto"/>
        <w:ind w:left="0" w:leftChars="0"/>
        <w:jc w:val="left"/>
        <w:outlineLvl w:val="0"/>
      </w:pPr>
      <w:bookmarkStart w:id="14" w:name="_Toc1902"/>
      <w:bookmarkStart w:id="15" w:name="_Toc17272"/>
      <w:r>
        <w:rPr>
          <w:rFonts w:hint="eastAsia" w:ascii="Arial" w:hAnsi="Arial" w:eastAsia="等线" w:cs="Arial"/>
          <w:b/>
          <w:sz w:val="32"/>
          <w:lang w:val="en-US" w:eastAsia="zh-CN"/>
        </w:rPr>
        <w:t>一、</w:t>
      </w:r>
      <w:r>
        <w:rPr>
          <w:rFonts w:ascii="Arial" w:hAnsi="Arial" w:eastAsia="等线" w:cs="Arial"/>
          <w:b/>
          <w:sz w:val="32"/>
        </w:rPr>
        <w:t xml:space="preserve"> 项目概况</w:t>
      </w:r>
      <w:bookmarkEnd w:id="14"/>
      <w:bookmarkEnd w:id="15"/>
    </w:p>
    <w:p w14:paraId="08C4AFA3">
      <w:pPr>
        <w:spacing w:before="120" w:after="120" w:line="288" w:lineRule="auto"/>
        <w:ind w:left="0" w:firstLine="440" w:firstLineChars="200"/>
        <w:jc w:val="left"/>
        <w:rPr>
          <w:rFonts w:hint="eastAsia" w:eastAsia="等线"/>
          <w:lang w:val="en-US" w:eastAsia="zh-CN"/>
        </w:rPr>
      </w:pPr>
      <w:r>
        <w:rPr>
          <w:rFonts w:ascii="Arial" w:hAnsi="Arial" w:eastAsia="等线" w:cs="Arial"/>
          <w:sz w:val="22"/>
        </w:rPr>
        <w:t>1.1 项目名称：</w:t>
      </w:r>
      <w:r>
        <w:rPr>
          <w:rFonts w:hint="eastAsia" w:ascii="Arial" w:hAnsi="Arial" w:eastAsia="等线" w:cs="Arial"/>
          <w:sz w:val="22"/>
        </w:rPr>
        <w:t>珠海市香洲区中小学、幼儿园办学场所及停车场改造提升工程</w:t>
      </w:r>
      <w:r>
        <w:rPr>
          <w:rFonts w:hint="eastAsia" w:ascii="Arial" w:hAnsi="Arial" w:eastAsia="等线" w:cs="Arial"/>
          <w:sz w:val="22"/>
          <w:lang w:val="en-US" w:eastAsia="zh-CN"/>
        </w:rPr>
        <w:t>项目</w:t>
      </w:r>
    </w:p>
    <w:p w14:paraId="1E25A382">
      <w:pPr>
        <w:spacing w:before="120" w:after="120" w:line="288" w:lineRule="auto"/>
        <w:ind w:left="0" w:leftChars="0" w:firstLine="440" w:firstLineChars="200"/>
        <w:jc w:val="left"/>
        <w:outlineLvl w:val="1"/>
        <w:rPr>
          <w:rFonts w:hint="default" w:eastAsia="等线"/>
          <w:lang w:val="en-US" w:eastAsia="zh-CN"/>
        </w:rPr>
      </w:pPr>
      <w:bookmarkStart w:id="16" w:name="_Toc4655"/>
      <w:bookmarkStart w:id="17" w:name="_Toc1044"/>
      <w:bookmarkStart w:id="18" w:name="_Toc20602"/>
      <w:bookmarkStart w:id="19" w:name="_Toc12946"/>
      <w:bookmarkStart w:id="20" w:name="_Toc30342"/>
      <w:bookmarkStart w:id="21" w:name="_Toc25372"/>
      <w:r>
        <w:rPr>
          <w:rFonts w:ascii="Arial" w:hAnsi="Arial" w:eastAsia="等线" w:cs="Arial"/>
          <w:sz w:val="22"/>
        </w:rPr>
        <w:t>1.2 建设地点：</w:t>
      </w:r>
      <w:r>
        <w:rPr>
          <w:rFonts w:hint="eastAsia" w:ascii="Arial" w:hAnsi="Arial" w:eastAsia="等线" w:cs="Arial"/>
          <w:sz w:val="22"/>
          <w:lang w:val="en-US" w:eastAsia="zh-CN"/>
        </w:rPr>
        <w:t>珠海市香洲区</w:t>
      </w:r>
      <w:bookmarkEnd w:id="16"/>
      <w:bookmarkEnd w:id="17"/>
      <w:bookmarkEnd w:id="18"/>
      <w:bookmarkEnd w:id="19"/>
      <w:bookmarkEnd w:id="20"/>
      <w:bookmarkEnd w:id="21"/>
    </w:p>
    <w:p w14:paraId="164B7C27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1.3 项目概况：本工程主要包含</w:t>
      </w:r>
      <w:r>
        <w:rPr>
          <w:rFonts w:hint="eastAsia" w:ascii="Arial" w:hAnsi="Arial" w:eastAsia="等线" w:cs="Arial"/>
          <w:sz w:val="22"/>
          <w:lang w:val="en-US" w:eastAsia="zh-CN"/>
        </w:rPr>
        <w:t>市政及园区中</w:t>
      </w:r>
      <w:r>
        <w:rPr>
          <w:rFonts w:ascii="Arial" w:hAnsi="Arial" w:eastAsia="等线" w:cs="Arial"/>
          <w:sz w:val="22"/>
        </w:rPr>
        <w:t>、低压燃气管道敷设，管道分为钢制管道与PE聚乙烯管道两大类，配套阀门、凝水缸、调压装置、管道防腐、管沟开挖回填、标识安装、压力试验、气密性试验、吹扫清洗及竣工验收全套工序。所有管道规格、敷设路径、埋深标准、配套设施参数均严格按照本工程设计图纸及设计说明执行。</w:t>
      </w:r>
    </w:p>
    <w:p w14:paraId="68ECA28D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1.</w:t>
      </w:r>
      <w:r>
        <w:rPr>
          <w:rFonts w:hint="eastAsia" w:ascii="Arial" w:hAnsi="Arial" w:eastAsia="等线" w:cs="Arial"/>
          <w:sz w:val="22"/>
          <w:lang w:val="en-US" w:eastAsia="zh-CN"/>
        </w:rPr>
        <w:t>4</w:t>
      </w:r>
      <w:r>
        <w:rPr>
          <w:rFonts w:ascii="Arial" w:hAnsi="Arial" w:eastAsia="等线" w:cs="Arial"/>
          <w:sz w:val="22"/>
        </w:rPr>
        <w:t xml:space="preserve"> 用途：作为本项目方案设计、施工图深化、设备采购、施工安装、调试验收及结算的技术依据。</w:t>
      </w:r>
    </w:p>
    <w:p w14:paraId="5AA24834">
      <w:pPr>
        <w:spacing w:before="320" w:after="120" w:line="288" w:lineRule="auto"/>
        <w:ind w:left="0"/>
        <w:jc w:val="left"/>
        <w:outlineLvl w:val="1"/>
      </w:pPr>
      <w:bookmarkStart w:id="22" w:name="heading_1"/>
      <w:bookmarkStart w:id="23" w:name="_Toc4521"/>
      <w:r>
        <w:rPr>
          <w:rFonts w:ascii="Arial" w:hAnsi="Arial" w:eastAsia="等线" w:cs="Arial"/>
          <w:b/>
          <w:sz w:val="32"/>
        </w:rPr>
        <w:t>二、编制依据与技术标准</w:t>
      </w:r>
      <w:bookmarkEnd w:id="22"/>
      <w:bookmarkEnd w:id="23"/>
    </w:p>
    <w:p w14:paraId="491BD4A4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本工程所有施工、试验、验收工作严格遵循本工程设计图纸、设计说明及国家、行业现行规范标准，核心依据如下：</w:t>
      </w:r>
    </w:p>
    <w:p w14:paraId="58D1314A">
      <w:pPr>
        <w:spacing w:before="120" w:after="120" w:line="288" w:lineRule="auto"/>
        <w:ind w:firstLine="500" w:firstLineChars="0"/>
        <w:jc w:val="left"/>
      </w:pPr>
      <w:r>
        <w:rPr>
          <w:rFonts w:ascii="Arial" w:hAnsi="Arial" w:eastAsia="等线" w:cs="Arial"/>
          <w:sz w:val="22"/>
        </w:rPr>
        <w:t>1. 《城镇燃气设计规范》（GB50028-2006，2020年版）</w:t>
      </w:r>
    </w:p>
    <w:p w14:paraId="21097033">
      <w:pPr>
        <w:spacing w:before="120" w:after="120" w:line="288" w:lineRule="auto"/>
        <w:ind w:left="0" w:firstLine="500" w:firstLineChars="0"/>
        <w:jc w:val="left"/>
      </w:pPr>
      <w:r>
        <w:rPr>
          <w:rFonts w:ascii="Arial" w:hAnsi="Arial" w:eastAsia="等线" w:cs="Arial"/>
          <w:sz w:val="22"/>
        </w:rPr>
        <w:t>2. 《城镇燃气输配工程施工及验收规范》（CJJ33-2015）</w:t>
      </w:r>
    </w:p>
    <w:p w14:paraId="54A03218">
      <w:pPr>
        <w:spacing w:before="120" w:after="120" w:line="288" w:lineRule="auto"/>
        <w:ind w:left="0" w:firstLine="500" w:firstLineChars="0"/>
        <w:jc w:val="left"/>
      </w:pPr>
      <w:r>
        <w:rPr>
          <w:rFonts w:ascii="Arial" w:hAnsi="Arial" w:eastAsia="等线" w:cs="Arial"/>
          <w:sz w:val="22"/>
        </w:rPr>
        <w:t>3. 《聚乙烯燃气管道工程技术规程》（CJJ63-2018）</w:t>
      </w:r>
    </w:p>
    <w:p w14:paraId="67F4C985">
      <w:pPr>
        <w:spacing w:before="120" w:after="120" w:line="288" w:lineRule="auto"/>
        <w:ind w:left="0" w:firstLine="500" w:firstLineChars="0"/>
        <w:jc w:val="left"/>
      </w:pPr>
      <w:r>
        <w:rPr>
          <w:rFonts w:ascii="Arial" w:hAnsi="Arial" w:eastAsia="等线" w:cs="Arial"/>
          <w:sz w:val="22"/>
        </w:rPr>
        <w:t>4. 《钢制管道外防腐层技术规范》（SY/T0413-2019）</w:t>
      </w:r>
    </w:p>
    <w:p w14:paraId="566A9890">
      <w:pPr>
        <w:spacing w:before="120" w:after="120" w:line="288" w:lineRule="auto"/>
        <w:ind w:left="0" w:firstLine="500" w:firstLineChars="0"/>
        <w:jc w:val="left"/>
      </w:pPr>
      <w:r>
        <w:rPr>
          <w:rFonts w:ascii="Arial" w:hAnsi="Arial" w:eastAsia="等线" w:cs="Arial"/>
          <w:sz w:val="22"/>
        </w:rPr>
        <w:t>5. 《现场设备、工业管道焊接工程施工规范》（GB50236-2011）</w:t>
      </w:r>
    </w:p>
    <w:p w14:paraId="0F128344">
      <w:pPr>
        <w:spacing w:before="120" w:after="120" w:line="288" w:lineRule="auto"/>
        <w:ind w:left="0" w:firstLine="500" w:firstLineChars="0"/>
        <w:jc w:val="left"/>
      </w:pPr>
      <w:r>
        <w:rPr>
          <w:rFonts w:ascii="Arial" w:hAnsi="Arial" w:eastAsia="等线" w:cs="Arial"/>
          <w:sz w:val="22"/>
        </w:rPr>
        <w:t>6. 本工程燃气管道施工图纸、专项设计说明、设计交底文件及项目批复文件</w:t>
      </w:r>
    </w:p>
    <w:p w14:paraId="76EE60C9">
      <w:pPr>
        <w:spacing w:before="120" w:after="120" w:line="288" w:lineRule="auto"/>
        <w:ind w:left="0" w:firstLine="500" w:firstLineChars="0"/>
        <w:jc w:val="left"/>
      </w:pPr>
      <w:r>
        <w:rPr>
          <w:rFonts w:ascii="Arial" w:hAnsi="Arial" w:eastAsia="等线" w:cs="Arial"/>
          <w:sz w:val="22"/>
        </w:rPr>
        <w:t>7. 属地燃气安全管理、施工现场文明施工及环境保护管理规定</w:t>
      </w:r>
    </w:p>
    <w:p w14:paraId="043E9E98">
      <w:pPr>
        <w:spacing w:before="320" w:after="120" w:line="288" w:lineRule="auto"/>
        <w:ind w:left="0"/>
        <w:jc w:val="left"/>
        <w:outlineLvl w:val="1"/>
      </w:pPr>
      <w:bookmarkStart w:id="24" w:name="_Toc13767"/>
      <w:bookmarkStart w:id="25" w:name="heading_2"/>
      <w:r>
        <w:rPr>
          <w:rFonts w:ascii="Arial" w:hAnsi="Arial" w:eastAsia="等线" w:cs="Arial"/>
          <w:b/>
          <w:sz w:val="32"/>
        </w:rPr>
        <w:t>三、管道设计核心参数</w:t>
      </w:r>
      <w:bookmarkEnd w:id="24"/>
      <w:bookmarkEnd w:id="25"/>
    </w:p>
    <w:p w14:paraId="413E678F">
      <w:pPr>
        <w:spacing w:before="120" w:after="120" w:line="288" w:lineRule="auto"/>
        <w:ind w:left="0" w:firstLine="500" w:firstLineChars="0"/>
        <w:jc w:val="left"/>
      </w:pPr>
      <w:r>
        <w:rPr>
          <w:rFonts w:ascii="Arial" w:hAnsi="Arial" w:eastAsia="等线" w:cs="Arial"/>
          <w:sz w:val="22"/>
        </w:rPr>
        <w:t xml:space="preserve">1. </w:t>
      </w:r>
      <w:r>
        <w:rPr>
          <w:rFonts w:ascii="Arial" w:hAnsi="Arial" w:eastAsia="等线" w:cs="Arial"/>
          <w:b/>
          <w:sz w:val="22"/>
        </w:rPr>
        <w:t>管道压力等级</w:t>
      </w:r>
      <w:r>
        <w:rPr>
          <w:rFonts w:ascii="Arial" w:hAnsi="Arial" w:eastAsia="等线" w:cs="Arial"/>
          <w:sz w:val="22"/>
        </w:rPr>
        <w:t>：本工程燃气管道设计压力分为两级，中压管道设计压力0.4MPa，低压管道设计压力≤0.01MPa；管道试验压力、运行压力严格遵循以上设计参数及图纸专项要求，严禁超压施工、超压试验、超压运行。</w:t>
      </w:r>
    </w:p>
    <w:p w14:paraId="56702FD1">
      <w:pPr>
        <w:spacing w:before="120" w:after="120" w:line="288" w:lineRule="auto"/>
        <w:ind w:left="0" w:firstLine="500" w:firstLineChars="0"/>
        <w:jc w:val="left"/>
      </w:pPr>
      <w:r>
        <w:rPr>
          <w:rFonts w:ascii="Arial" w:hAnsi="Arial" w:eastAsia="等线" w:cs="Arial"/>
          <w:sz w:val="22"/>
        </w:rPr>
        <w:t xml:space="preserve">2. </w:t>
      </w:r>
      <w:r>
        <w:rPr>
          <w:rFonts w:ascii="Arial" w:hAnsi="Arial" w:eastAsia="等线" w:cs="Arial"/>
          <w:b/>
          <w:sz w:val="22"/>
        </w:rPr>
        <w:t>管材选用标准</w:t>
      </w:r>
    </w:p>
    <w:p w14:paraId="7B3602D3">
      <w:pPr>
        <w:spacing w:before="120" w:after="120" w:line="288" w:lineRule="auto"/>
        <w:ind w:left="0" w:firstLine="500" w:firstLineChars="0"/>
        <w:jc w:val="left"/>
      </w:pPr>
      <w:r>
        <w:rPr>
          <w:rFonts w:ascii="Arial" w:hAnsi="Arial" w:eastAsia="等线" w:cs="Arial"/>
          <w:sz w:val="22"/>
        </w:rPr>
        <w:t>（1）钢制燃气管道：采用20#优质无缝钢管，管材符合GB/T8163标准，钢管外径、壁厚严格按施工图纸选型；钢质管道采用3PE加强级防腐工艺，埋地钢管全部做防腐、补口、补伤处理，管道焊接、探伤、试压严格执行钢制燃气管道专项规范要求。</w:t>
      </w:r>
    </w:p>
    <w:p w14:paraId="026F9868">
      <w:pPr>
        <w:spacing w:before="120" w:after="120" w:line="288" w:lineRule="auto"/>
        <w:ind w:left="0" w:firstLine="500" w:firstLineChars="0"/>
        <w:jc w:val="left"/>
      </w:pPr>
      <w:r>
        <w:rPr>
          <w:rFonts w:ascii="Arial" w:hAnsi="Arial" w:eastAsia="等线" w:cs="Arial"/>
          <w:sz w:val="22"/>
        </w:rPr>
        <w:t>（2）PE燃气管道：全部采用国标PE100级高密度聚乙烯燃气专用管道，中压管道、低压管道分规格、分区域布设，严禁高低压管材混用、错用；管材符合CJJ63-2018规程要求，具备良好的耐腐蚀性、密封性，适配城镇燃气埋地敷设工况。</w:t>
      </w:r>
    </w:p>
    <w:p w14:paraId="393349AB">
      <w:pPr>
        <w:spacing w:before="120" w:after="120" w:line="288" w:lineRule="auto"/>
        <w:ind w:left="0" w:firstLine="500" w:firstLineChars="0"/>
        <w:jc w:val="left"/>
      </w:pPr>
      <w:r>
        <w:rPr>
          <w:rFonts w:ascii="Arial" w:hAnsi="Arial" w:eastAsia="等线" w:cs="Arial"/>
          <w:sz w:val="22"/>
        </w:rPr>
        <w:t xml:space="preserve">3. </w:t>
      </w:r>
      <w:r>
        <w:rPr>
          <w:rFonts w:ascii="Arial" w:hAnsi="Arial" w:eastAsia="等线" w:cs="Arial"/>
          <w:b/>
          <w:sz w:val="22"/>
        </w:rPr>
        <w:t>管道敷设方式及埋深要求</w:t>
      </w:r>
      <w:r>
        <w:rPr>
          <w:rFonts w:ascii="Arial" w:hAnsi="Arial" w:eastAsia="等线" w:cs="Arial"/>
          <w:sz w:val="22"/>
        </w:rPr>
        <w:t>：工程管道采用</w:t>
      </w:r>
      <w:r>
        <w:rPr>
          <w:rFonts w:ascii="Arial" w:hAnsi="Arial" w:eastAsia="等线" w:cs="Arial"/>
          <w:b w:val="0"/>
          <w:bCs/>
          <w:sz w:val="22"/>
        </w:rPr>
        <w:t>地下直埋敷设</w:t>
      </w:r>
      <w:r>
        <w:rPr>
          <w:rFonts w:hint="eastAsia" w:ascii="Arial" w:hAnsi="Arial" w:eastAsia="等线" w:cs="Arial"/>
          <w:b w:val="0"/>
          <w:bCs/>
          <w:sz w:val="22"/>
          <w:lang w:val="en-US" w:eastAsia="zh-CN"/>
        </w:rPr>
        <w:t>及架</w:t>
      </w:r>
      <w:r>
        <w:rPr>
          <w:rFonts w:ascii="Arial" w:hAnsi="Arial" w:eastAsia="等线" w:cs="Arial"/>
          <w:b w:val="0"/>
          <w:bCs/>
          <w:sz w:val="22"/>
        </w:rPr>
        <w:t>空敷设</w:t>
      </w:r>
      <w:r>
        <w:rPr>
          <w:rFonts w:ascii="Arial" w:hAnsi="Arial" w:eastAsia="等线" w:cs="Arial"/>
          <w:sz w:val="22"/>
        </w:rPr>
        <w:t>。管道最小覆土厚度：车行道下不小于0.9m，非车行道（人行道、绿化带）下不小于0.6m；管道敷设坡度不小于0.002，坡向凝水缸或排水低点，避免管内积水。管道穿越车行道路、墙体、绿化带、构筑物位置均设置钢制防护套管，套管长度、规格、防护封堵严格按图纸及规范执行，管道水平、垂直安全间距满足国标要求。</w:t>
      </w:r>
    </w:p>
    <w:p w14:paraId="5BB222DA">
      <w:pPr>
        <w:spacing w:before="120" w:after="120" w:line="288" w:lineRule="auto"/>
        <w:ind w:left="0" w:firstLine="500" w:firstLineChars="0"/>
        <w:jc w:val="left"/>
      </w:pPr>
      <w:r>
        <w:rPr>
          <w:rFonts w:ascii="Arial" w:hAnsi="Arial" w:eastAsia="等线" w:cs="Arial"/>
          <w:sz w:val="22"/>
        </w:rPr>
        <w:t xml:space="preserve">4. </w:t>
      </w:r>
      <w:r>
        <w:rPr>
          <w:rFonts w:ascii="Arial" w:hAnsi="Arial" w:eastAsia="等线" w:cs="Arial"/>
          <w:b/>
          <w:sz w:val="22"/>
        </w:rPr>
        <w:t>配套设施设计</w:t>
      </w:r>
      <w:r>
        <w:rPr>
          <w:rFonts w:ascii="Arial" w:hAnsi="Arial" w:eastAsia="等线" w:cs="Arial"/>
          <w:sz w:val="22"/>
        </w:rPr>
        <w:t>：按图纸点位配套安装燃气球阀、凝水缸、放散装置、低压调压装置、管道检漏接口；全线管道上方敷设燃气专用警示带、埋设警示桩、警示牌，转角点、分支点、穿越点位、阀门井位置加密标识；所有设备型号、规格、安装高度、安装角度均与施工图纸、设计说明一致，满足管网安全运行、检修、检漏需求。</w:t>
      </w:r>
    </w:p>
    <w:p w14:paraId="1D1049CD">
      <w:pPr>
        <w:spacing w:before="320" w:after="120" w:line="288" w:lineRule="auto"/>
        <w:ind w:left="0"/>
        <w:jc w:val="left"/>
        <w:outlineLvl w:val="1"/>
      </w:pPr>
      <w:bookmarkStart w:id="26" w:name="heading_3"/>
      <w:bookmarkStart w:id="27" w:name="_Toc29064"/>
      <w:r>
        <w:rPr>
          <w:rFonts w:ascii="Arial" w:hAnsi="Arial" w:eastAsia="等线" w:cs="Arial"/>
          <w:b/>
          <w:sz w:val="32"/>
        </w:rPr>
        <w:t>四、主要技术工作任务</w:t>
      </w:r>
      <w:bookmarkEnd w:id="26"/>
      <w:bookmarkEnd w:id="27"/>
    </w:p>
    <w:p w14:paraId="75DC1828">
      <w:pPr>
        <w:spacing w:before="300" w:after="120" w:line="288" w:lineRule="auto"/>
        <w:ind w:left="0"/>
        <w:jc w:val="left"/>
        <w:outlineLvl w:val="2"/>
      </w:pPr>
      <w:bookmarkStart w:id="28" w:name="_Toc7388"/>
      <w:bookmarkStart w:id="29" w:name="_Toc13077"/>
      <w:bookmarkStart w:id="30" w:name="_Toc15047"/>
      <w:bookmarkStart w:id="31" w:name="_Toc12976"/>
      <w:bookmarkStart w:id="32" w:name="_Toc24486"/>
      <w:bookmarkStart w:id="33" w:name="heading_4"/>
      <w:r>
        <w:rPr>
          <w:rFonts w:ascii="Arial" w:hAnsi="Arial" w:eastAsia="等线" w:cs="Arial"/>
          <w:b/>
          <w:sz w:val="30"/>
        </w:rPr>
        <w:t>（一）施工前期技术准备</w:t>
      </w:r>
      <w:bookmarkEnd w:id="28"/>
      <w:bookmarkEnd w:id="29"/>
      <w:bookmarkEnd w:id="30"/>
      <w:bookmarkEnd w:id="31"/>
      <w:bookmarkEnd w:id="32"/>
      <w:bookmarkEnd w:id="33"/>
    </w:p>
    <w:p w14:paraId="0301C0DE">
      <w:pPr>
        <w:spacing w:before="120" w:after="120" w:line="288" w:lineRule="auto"/>
        <w:ind w:left="0" w:firstLine="500" w:firstLineChars="0"/>
        <w:jc w:val="left"/>
      </w:pPr>
      <w:r>
        <w:rPr>
          <w:rFonts w:ascii="Arial" w:hAnsi="Arial" w:eastAsia="等线" w:cs="Arial"/>
          <w:sz w:val="22"/>
        </w:rPr>
        <w:t>1. 全员研读图纸设计说明，完成图纸会审及设计交底，重点核对中低压管道分区、管材规格、埋深参数、防腐等级、设备选型、管道间距等核心设计内容，梳理设计疑问并形成书面记录，报建设、设计单位确认。</w:t>
      </w:r>
    </w:p>
    <w:p w14:paraId="7AFCB74F">
      <w:pPr>
        <w:spacing w:before="120" w:after="120" w:line="288" w:lineRule="auto"/>
        <w:ind w:left="0" w:firstLine="500" w:firstLineChars="0"/>
        <w:jc w:val="left"/>
      </w:pPr>
      <w:r>
        <w:rPr>
          <w:rFonts w:ascii="Arial" w:hAnsi="Arial" w:eastAsia="等线" w:cs="Arial"/>
          <w:sz w:val="22"/>
        </w:rPr>
        <w:t>2. 开展现场精细化勘查，对照图纸核对施工区域地形、地下管线、建构筑物位置，核实管道敷设走向、覆土厚度条件，排查施工冲突点，编制贴合本工程设计的专项施工方案及安全技术方案。</w:t>
      </w:r>
    </w:p>
    <w:p w14:paraId="0140EC5E">
      <w:pPr>
        <w:spacing w:before="120" w:after="120" w:line="288" w:lineRule="auto"/>
        <w:ind w:left="0" w:firstLine="500" w:firstLineChars="0"/>
        <w:jc w:val="left"/>
      </w:pPr>
      <w:r>
        <w:rPr>
          <w:rFonts w:ascii="Arial" w:hAnsi="Arial" w:eastAsia="等线" w:cs="Arial"/>
          <w:sz w:val="22"/>
        </w:rPr>
        <w:t>3. 开展分级技术交底，向施工班组、作业人员明确图纸设计要求、施工工艺标准、压力试验参数、质量控制点及安全管控要点，确保所有作业人员熟知设计规范及图纸要求，留存完整交底台账。</w:t>
      </w:r>
    </w:p>
    <w:p w14:paraId="2E663837">
      <w:pPr>
        <w:spacing w:before="120" w:after="120" w:line="288" w:lineRule="auto"/>
        <w:ind w:left="0" w:firstLine="500" w:firstLineChars="0"/>
        <w:jc w:val="left"/>
      </w:pPr>
      <w:r>
        <w:rPr>
          <w:rFonts w:ascii="Arial" w:hAnsi="Arial" w:eastAsia="等线" w:cs="Arial"/>
          <w:sz w:val="22"/>
        </w:rPr>
        <w:t>4. 严格材料进场核验，钢制管道、PE管道、阀门、凝水缸、防腐材料、警示材料等所有主材辅材，必须具备合格证书、检测报告，参数符合图纸设计选型，不合格材料严禁进场、严禁使用。</w:t>
      </w:r>
    </w:p>
    <w:p w14:paraId="706953C5">
      <w:pPr>
        <w:spacing w:before="300" w:after="120" w:line="288" w:lineRule="auto"/>
        <w:ind w:left="0"/>
        <w:jc w:val="left"/>
        <w:outlineLvl w:val="2"/>
      </w:pPr>
      <w:bookmarkStart w:id="34" w:name="_Toc22652"/>
      <w:bookmarkStart w:id="35" w:name="_Toc9243"/>
      <w:bookmarkStart w:id="36" w:name="_Toc31186"/>
      <w:bookmarkStart w:id="37" w:name="heading_5"/>
      <w:bookmarkStart w:id="38" w:name="_Toc20194"/>
      <w:bookmarkStart w:id="39" w:name="_Toc27200"/>
      <w:r>
        <w:rPr>
          <w:rFonts w:ascii="Arial" w:hAnsi="Arial" w:eastAsia="等线" w:cs="Arial"/>
          <w:b/>
          <w:sz w:val="30"/>
        </w:rPr>
        <w:t>（二）核心施工技术管控</w:t>
      </w:r>
      <w:bookmarkEnd w:id="34"/>
      <w:bookmarkEnd w:id="35"/>
      <w:bookmarkEnd w:id="36"/>
      <w:bookmarkEnd w:id="37"/>
      <w:bookmarkEnd w:id="38"/>
      <w:bookmarkEnd w:id="39"/>
    </w:p>
    <w:p w14:paraId="579D9F4A">
      <w:pPr>
        <w:spacing w:before="120" w:after="120" w:line="288" w:lineRule="auto"/>
        <w:ind w:left="0" w:firstLine="500" w:firstLineChars="0"/>
        <w:jc w:val="left"/>
      </w:pPr>
      <w:r>
        <w:rPr>
          <w:rFonts w:ascii="Arial" w:hAnsi="Arial" w:eastAsia="等线" w:cs="Arial"/>
          <w:sz w:val="22"/>
        </w:rPr>
        <w:t xml:space="preserve">1. </w:t>
      </w:r>
      <w:r>
        <w:rPr>
          <w:rFonts w:ascii="Arial" w:hAnsi="Arial" w:eastAsia="等线" w:cs="Arial"/>
          <w:b/>
          <w:sz w:val="22"/>
        </w:rPr>
        <w:t>管沟开挖与回填施工</w:t>
      </w:r>
      <w:r>
        <w:rPr>
          <w:rFonts w:ascii="Arial" w:hAnsi="Arial" w:eastAsia="等线" w:cs="Arial"/>
          <w:sz w:val="22"/>
        </w:rPr>
        <w:t>：严格按照图纸设计的管道埋深、管沟宽度、边坡坡度开挖，管沟基底必须平整、密实，无硬块、杂物，不良地基按设计要求换填处理。管道敷设完成后采用细土分层回填，分层夯实，严禁大块砖石、硬物直接接触管道，回填压实度符合设计及规范标准，表层恢复原有地貌。</w:t>
      </w:r>
    </w:p>
    <w:p w14:paraId="2C7DC983">
      <w:pPr>
        <w:spacing w:before="120" w:after="120" w:line="288" w:lineRule="auto"/>
        <w:ind w:left="0" w:firstLine="500" w:firstLineChars="0"/>
        <w:jc w:val="left"/>
      </w:pPr>
      <w:r>
        <w:rPr>
          <w:rFonts w:ascii="Arial" w:hAnsi="Arial" w:eastAsia="等线" w:cs="Arial"/>
          <w:sz w:val="22"/>
        </w:rPr>
        <w:t xml:space="preserve">2. </w:t>
      </w:r>
      <w:r>
        <w:rPr>
          <w:rFonts w:ascii="Arial" w:hAnsi="Arial" w:eastAsia="等线" w:cs="Arial"/>
          <w:b/>
          <w:sz w:val="22"/>
        </w:rPr>
        <w:t>钢制管道施工工艺</w:t>
      </w:r>
      <w:r>
        <w:rPr>
          <w:rFonts w:ascii="Arial" w:hAnsi="Arial" w:eastAsia="等线" w:cs="Arial"/>
          <w:sz w:val="22"/>
        </w:rPr>
        <w:t>：20#无缝钢管切割、坡口、焊接严格遵循焊接工艺评定，焊缝饱满、无夹渣、无气孔、无裂纹。管道焊接完成后进行无损检测，检测比例及标准按设计要求执行；随后实施3PE加强级防腐补口、补伤，防腐层厚度、附着力满足设计及规范要求。管道穿越道路、墙体、绿化带位置，按图纸设置钢制防护套管，套管间隙做密封处理。</w:t>
      </w:r>
    </w:p>
    <w:p w14:paraId="1BE16B89">
      <w:pPr>
        <w:spacing w:before="120" w:after="120" w:line="288" w:lineRule="auto"/>
        <w:ind w:left="0" w:firstLine="500" w:firstLineChars="0"/>
        <w:jc w:val="left"/>
      </w:pPr>
      <w:r>
        <w:rPr>
          <w:rFonts w:ascii="Arial" w:hAnsi="Arial" w:eastAsia="等线" w:cs="Arial"/>
          <w:sz w:val="22"/>
        </w:rPr>
        <w:t xml:space="preserve">3. </w:t>
      </w:r>
      <w:r>
        <w:rPr>
          <w:rFonts w:ascii="Arial" w:hAnsi="Arial" w:eastAsia="等线" w:cs="Arial"/>
          <w:b/>
          <w:sz w:val="22"/>
        </w:rPr>
        <w:t>PE管道施工工艺</w:t>
      </w:r>
      <w:r>
        <w:rPr>
          <w:rFonts w:ascii="Arial" w:hAnsi="Arial" w:eastAsia="等线" w:cs="Arial"/>
          <w:sz w:val="22"/>
        </w:rPr>
        <w:t>：PE100管道严格区分中、低压规格，采用专用热熔、电熔连接设备施工，严格控制焊接温度、加热时间、对接压力、冷却时间，杜绝虚焊、脱焊、错位等缺陷。管道敷设顺直，坡度符合设计排水要求，避免积水、受力弯折，管道接口远离管沟转角、应力集中区域。</w:t>
      </w:r>
    </w:p>
    <w:p w14:paraId="7D0A29A2">
      <w:pPr>
        <w:spacing w:before="120" w:after="120" w:line="288" w:lineRule="auto"/>
        <w:ind w:left="0" w:firstLine="500" w:firstLineChars="0"/>
        <w:jc w:val="left"/>
      </w:pPr>
      <w:r>
        <w:rPr>
          <w:rFonts w:ascii="Arial" w:hAnsi="Arial" w:eastAsia="等线" w:cs="Arial"/>
          <w:sz w:val="22"/>
        </w:rPr>
        <w:t xml:space="preserve">4. </w:t>
      </w:r>
      <w:r>
        <w:rPr>
          <w:rFonts w:ascii="Arial" w:hAnsi="Arial" w:eastAsia="等线" w:cs="Arial"/>
          <w:b/>
          <w:sz w:val="22"/>
        </w:rPr>
        <w:t>附属设施安装施工</w:t>
      </w:r>
      <w:r>
        <w:rPr>
          <w:rFonts w:ascii="Arial" w:hAnsi="Arial" w:eastAsia="等线" w:cs="Arial"/>
          <w:sz w:val="22"/>
        </w:rPr>
        <w:t>：严格按照图纸位置安装燃气阀门、凝水缸、调压装置，阀门启闭灵活、密封严密，凝水缸安装坡度、位置符合排水设计要求，可有效收集管道积水；全线敷设燃气警示带、埋设警示桩，标识清晰、位置准确，符合设计标识标准。</w:t>
      </w:r>
    </w:p>
    <w:p w14:paraId="1DE59069">
      <w:pPr>
        <w:spacing w:before="300" w:after="120" w:line="288" w:lineRule="auto"/>
        <w:ind w:left="0"/>
        <w:jc w:val="left"/>
        <w:outlineLvl w:val="2"/>
      </w:pPr>
      <w:bookmarkStart w:id="40" w:name="_Toc23937"/>
      <w:bookmarkStart w:id="41" w:name="heading_6"/>
      <w:bookmarkStart w:id="42" w:name="_Toc4477"/>
      <w:bookmarkStart w:id="43" w:name="_Toc3773"/>
      <w:bookmarkStart w:id="44" w:name="_Toc9493"/>
      <w:bookmarkStart w:id="45" w:name="_Toc12489"/>
      <w:r>
        <w:rPr>
          <w:rFonts w:ascii="Arial" w:hAnsi="Arial" w:eastAsia="等线" w:cs="Arial"/>
          <w:b/>
          <w:sz w:val="30"/>
        </w:rPr>
        <w:t>（三）管道吹扫与试验检测（按设计及规范执行）</w:t>
      </w:r>
      <w:bookmarkEnd w:id="40"/>
      <w:bookmarkEnd w:id="41"/>
      <w:bookmarkEnd w:id="42"/>
      <w:bookmarkEnd w:id="43"/>
      <w:bookmarkEnd w:id="44"/>
      <w:bookmarkEnd w:id="45"/>
    </w:p>
    <w:p w14:paraId="130CB4E2">
      <w:pPr>
        <w:spacing w:before="120" w:after="120" w:line="288" w:lineRule="auto"/>
        <w:ind w:left="0" w:firstLine="500" w:firstLineChars="0"/>
        <w:jc w:val="left"/>
      </w:pPr>
      <w:r>
        <w:rPr>
          <w:rFonts w:ascii="Arial" w:hAnsi="Arial" w:eastAsia="等线" w:cs="Arial"/>
          <w:sz w:val="22"/>
        </w:rPr>
        <w:t xml:space="preserve">1. </w:t>
      </w:r>
      <w:r>
        <w:rPr>
          <w:rFonts w:ascii="Arial" w:hAnsi="Arial" w:eastAsia="等线" w:cs="Arial"/>
          <w:b/>
          <w:sz w:val="22"/>
        </w:rPr>
        <w:t>管道吹扫</w:t>
      </w:r>
      <w:r>
        <w:rPr>
          <w:rFonts w:ascii="Arial" w:hAnsi="Arial" w:eastAsia="等线" w:cs="Arial"/>
          <w:sz w:val="22"/>
        </w:rPr>
        <w:t>：管道安装完成、回填前，采用压缩空气对全线管道进行分段吹扫，彻底清除管内杂物、泥沙、积水，吹扫合格后方可开展压力试验，吹扫过程全程记录。</w:t>
      </w:r>
    </w:p>
    <w:p w14:paraId="38E5AF6A">
      <w:pPr>
        <w:spacing w:before="120" w:after="120" w:line="288" w:lineRule="auto"/>
        <w:ind w:left="0" w:firstLine="500" w:firstLineChars="0"/>
        <w:jc w:val="left"/>
      </w:pPr>
      <w:r>
        <w:rPr>
          <w:rFonts w:ascii="Arial" w:hAnsi="Arial" w:eastAsia="等线" w:cs="Arial"/>
          <w:sz w:val="22"/>
        </w:rPr>
        <w:t xml:space="preserve">2. </w:t>
      </w:r>
      <w:r>
        <w:rPr>
          <w:rFonts w:ascii="Arial" w:hAnsi="Arial" w:eastAsia="等线" w:cs="Arial"/>
          <w:b/>
          <w:sz w:val="22"/>
        </w:rPr>
        <w:t>强度试验</w:t>
      </w:r>
      <w:r>
        <w:rPr>
          <w:rFonts w:ascii="Arial" w:hAnsi="Arial" w:eastAsia="等线" w:cs="Arial"/>
          <w:sz w:val="22"/>
        </w:rPr>
        <w:t>：中压管道采用气压试验，试验压力为0.6MPa，稳压30min，管道、焊缝、接口无变形、无渗漏、压力无异常下降为合格；低压管道试验压力为0.15MPa，稳压30min，外观、密封性全部达标。试验过程分区、分段进行，全程录像、记录台账，试验合格后方可进入下道工序，严禁不合格工序流转。</w:t>
      </w:r>
    </w:p>
    <w:p w14:paraId="1B16AA28">
      <w:pPr>
        <w:spacing w:before="120" w:after="120" w:line="288" w:lineRule="auto"/>
        <w:ind w:left="0" w:firstLine="500" w:firstLineChars="0"/>
        <w:jc w:val="left"/>
      </w:pPr>
      <w:r>
        <w:rPr>
          <w:rFonts w:ascii="Arial" w:hAnsi="Arial" w:eastAsia="等线" w:cs="Arial"/>
          <w:sz w:val="22"/>
        </w:rPr>
        <w:t xml:space="preserve">3. </w:t>
      </w:r>
      <w:r>
        <w:rPr>
          <w:rFonts w:ascii="Arial" w:hAnsi="Arial" w:eastAsia="等线" w:cs="Arial"/>
          <w:b/>
          <w:sz w:val="22"/>
        </w:rPr>
        <w:t>严密性试验</w:t>
      </w:r>
      <w:r>
        <w:rPr>
          <w:rFonts w:ascii="Arial" w:hAnsi="Arial" w:eastAsia="等线" w:cs="Arial"/>
          <w:sz w:val="22"/>
        </w:rPr>
        <w:t>：强度试验合格后开展全线严密性试验，中压、低压管道统一稳压24h，环境温度稳定前提下，管网压力损失符合CJJ33-2015规范允许范围，无泄漏、无压力异常波动为合格。试验合格后做好封闭、标识，杜绝杂物、积水进入管道，保障管网通气安全。</w:t>
      </w:r>
    </w:p>
    <w:p w14:paraId="318706FD">
      <w:pPr>
        <w:spacing w:before="120" w:after="120" w:line="288" w:lineRule="auto"/>
        <w:ind w:left="0" w:firstLine="500" w:firstLineChars="0"/>
        <w:jc w:val="left"/>
      </w:pPr>
      <w:r>
        <w:rPr>
          <w:rFonts w:ascii="Arial" w:hAnsi="Arial" w:eastAsia="等线" w:cs="Arial"/>
          <w:sz w:val="22"/>
        </w:rPr>
        <w:t>4. 所有试验、检测工序严格贴合图纸设计参数，严禁随意降低试验标准、缩短稳压时长，不合格段落立即整改复检，直至完全符合设计及规范要求。</w:t>
      </w:r>
    </w:p>
    <w:p w14:paraId="6F333D44">
      <w:pPr>
        <w:spacing w:before="300" w:after="120" w:line="288" w:lineRule="auto"/>
        <w:ind w:left="0"/>
        <w:jc w:val="left"/>
        <w:outlineLvl w:val="2"/>
      </w:pPr>
      <w:bookmarkStart w:id="46" w:name="_Toc21899"/>
      <w:bookmarkStart w:id="47" w:name="heading_7"/>
      <w:bookmarkStart w:id="48" w:name="_Toc27392"/>
      <w:bookmarkStart w:id="49" w:name="_Toc16319"/>
      <w:bookmarkStart w:id="50" w:name="_Toc9095"/>
      <w:bookmarkStart w:id="51" w:name="_Toc5953"/>
      <w:r>
        <w:rPr>
          <w:rFonts w:ascii="Arial" w:hAnsi="Arial" w:eastAsia="等线" w:cs="Arial"/>
          <w:b/>
          <w:sz w:val="30"/>
        </w:rPr>
        <w:t>（四）竣工技术资料整理</w:t>
      </w:r>
      <w:bookmarkEnd w:id="46"/>
      <w:bookmarkEnd w:id="47"/>
      <w:bookmarkEnd w:id="48"/>
      <w:bookmarkEnd w:id="49"/>
      <w:bookmarkEnd w:id="50"/>
      <w:bookmarkEnd w:id="51"/>
    </w:p>
    <w:p w14:paraId="725935C1">
      <w:pPr>
        <w:spacing w:before="120" w:after="120" w:line="288" w:lineRule="auto"/>
        <w:ind w:left="0" w:firstLine="500" w:firstLineChars="0"/>
        <w:jc w:val="left"/>
      </w:pPr>
      <w:r>
        <w:rPr>
          <w:rFonts w:ascii="Arial" w:hAnsi="Arial" w:eastAsia="等线" w:cs="Arial"/>
          <w:sz w:val="22"/>
        </w:rPr>
        <w:t>1. 同步收集整理与图纸设计匹配的全套技术资料，包含图纸会审记录、设计交底记录、设计变更资料、技术交底记录、材料合格证及检测报告、隐蔽工程验收记录、管道吹扫记录、强度及严密性试验报告、施工日志等。</w:t>
      </w:r>
    </w:p>
    <w:p w14:paraId="0423A39B">
      <w:pPr>
        <w:spacing w:before="120" w:after="120" w:line="288" w:lineRule="auto"/>
        <w:ind w:left="0" w:firstLine="500" w:firstLineChars="0"/>
        <w:jc w:val="left"/>
      </w:pPr>
      <w:r>
        <w:rPr>
          <w:rFonts w:ascii="Arial" w:hAnsi="Arial" w:eastAsia="等线" w:cs="Arial"/>
          <w:sz w:val="22"/>
        </w:rPr>
        <w:t>2. 精准绘制竣工图，严格对照现场实际施工及原设计图纸，如实标注管道走向、管径、材质、埋深、接口位置、附属设施安装点位，确保竣工图与设计图纸、施工现场三者一致。</w:t>
      </w:r>
    </w:p>
    <w:p w14:paraId="27826887">
      <w:pPr>
        <w:spacing w:before="120" w:after="120" w:line="288" w:lineRule="auto"/>
        <w:ind w:left="0" w:firstLine="500" w:firstLineChars="0"/>
        <w:jc w:val="left"/>
      </w:pPr>
      <w:r>
        <w:rPr>
          <w:rFonts w:ascii="Arial" w:hAnsi="Arial" w:eastAsia="等线" w:cs="Arial"/>
          <w:sz w:val="22"/>
        </w:rPr>
        <w:t>3. 按工程归档规范分类整理资料，编制完整资料目录，形成贴合本工程设计的竣工技术档案，满足工程验收、备案及后期运维需求。</w:t>
      </w:r>
    </w:p>
    <w:p w14:paraId="20339523">
      <w:pPr>
        <w:spacing w:before="320" w:after="120" w:line="288" w:lineRule="auto"/>
        <w:ind w:left="0"/>
        <w:jc w:val="left"/>
        <w:outlineLvl w:val="1"/>
      </w:pPr>
      <w:bookmarkStart w:id="52" w:name="heading_8"/>
      <w:bookmarkStart w:id="53" w:name="_Toc32647"/>
      <w:r>
        <w:rPr>
          <w:rFonts w:ascii="Arial" w:hAnsi="Arial" w:eastAsia="等线" w:cs="Arial"/>
          <w:b/>
          <w:sz w:val="32"/>
        </w:rPr>
        <w:t>五、质量技术要求</w:t>
      </w:r>
      <w:bookmarkEnd w:id="52"/>
      <w:bookmarkEnd w:id="53"/>
    </w:p>
    <w:p w14:paraId="6CED1C90">
      <w:pPr>
        <w:spacing w:before="120" w:after="120" w:line="288" w:lineRule="auto"/>
        <w:ind w:left="0" w:firstLine="500" w:firstLineChars="0"/>
        <w:jc w:val="left"/>
      </w:pPr>
      <w:r>
        <w:rPr>
          <w:rFonts w:ascii="Arial" w:hAnsi="Arial" w:eastAsia="等线" w:cs="Arial"/>
          <w:sz w:val="22"/>
        </w:rPr>
        <w:t>1. 本工程质量标准为</w:t>
      </w:r>
      <w:r>
        <w:rPr>
          <w:rFonts w:ascii="Arial" w:hAnsi="Arial" w:eastAsia="等线" w:cs="Arial"/>
          <w:b/>
          <w:sz w:val="22"/>
        </w:rPr>
        <w:t>合格工程</w:t>
      </w:r>
      <w:r>
        <w:rPr>
          <w:rFonts w:ascii="Arial" w:hAnsi="Arial" w:eastAsia="等线" w:cs="Arial"/>
          <w:sz w:val="22"/>
        </w:rPr>
        <w:t>，所有施工工序、工艺参数、设备安装、试验结果必须完全符合本工程设计图纸、设计说明及国家现行规范标准。</w:t>
      </w:r>
    </w:p>
    <w:p w14:paraId="2B6275BE">
      <w:pPr>
        <w:spacing w:before="120" w:after="120" w:line="288" w:lineRule="auto"/>
        <w:ind w:left="0" w:firstLine="500" w:firstLineChars="0"/>
        <w:jc w:val="left"/>
      </w:pPr>
      <w:r>
        <w:rPr>
          <w:rFonts w:ascii="Arial" w:hAnsi="Arial" w:eastAsia="等线" w:cs="Arial"/>
          <w:sz w:val="22"/>
        </w:rPr>
        <w:t>2. 所有进场材料、设备必须与图纸设计选型一致，三证齐全、复检合格，严禁替换设计管材、设备型号，严禁使用非标、劣质材料。</w:t>
      </w:r>
    </w:p>
    <w:p w14:paraId="69271F21">
      <w:pPr>
        <w:spacing w:before="120" w:after="120" w:line="288" w:lineRule="auto"/>
        <w:ind w:left="0" w:firstLine="500" w:firstLineChars="0"/>
        <w:jc w:val="left"/>
      </w:pPr>
      <w:r>
        <w:rPr>
          <w:rFonts w:ascii="Arial" w:hAnsi="Arial" w:eastAsia="等线" w:cs="Arial"/>
          <w:sz w:val="22"/>
        </w:rPr>
        <w:t>3. 管沟基底、管道敷设、接口焊接、防腐施工、隐蔽回填等隐蔽工程，必须经建设、监理单位验收合格并留存影像及文字资料后，方可进行下道工序施工。</w:t>
      </w:r>
    </w:p>
    <w:p w14:paraId="357019DB">
      <w:pPr>
        <w:spacing w:before="120" w:after="120" w:line="288" w:lineRule="auto"/>
        <w:ind w:left="0" w:firstLine="500" w:firstLineChars="0"/>
        <w:jc w:val="left"/>
      </w:pPr>
      <w:r>
        <w:rPr>
          <w:rFonts w:ascii="Arial" w:hAnsi="Arial" w:eastAsia="等线" w:cs="Arial"/>
          <w:sz w:val="22"/>
        </w:rPr>
        <w:t>4. 中低压管道分区施工、分区试验，严格区分压力等级，杜绝混区施工、参数混用，关键工序实行技术旁站管控，全程把控施工质量。</w:t>
      </w:r>
    </w:p>
    <w:p w14:paraId="4FB19D9A">
      <w:pPr>
        <w:spacing w:before="120" w:after="120" w:line="288" w:lineRule="auto"/>
        <w:ind w:left="0" w:firstLine="500" w:firstLineChars="0"/>
        <w:jc w:val="left"/>
      </w:pPr>
      <w:r>
        <w:rPr>
          <w:rFonts w:ascii="Arial" w:hAnsi="Arial" w:eastAsia="等线" w:cs="Arial"/>
          <w:sz w:val="22"/>
        </w:rPr>
        <w:t>5. 工程竣工后管网运行稳定、密封完好、无泄漏，各项运行参数满足设计供气要求，符合安全通气条件。</w:t>
      </w:r>
    </w:p>
    <w:p w14:paraId="748DBB4E">
      <w:pPr>
        <w:spacing w:before="320" w:after="120" w:line="288" w:lineRule="auto"/>
        <w:ind w:left="0"/>
        <w:jc w:val="left"/>
        <w:outlineLvl w:val="1"/>
      </w:pPr>
      <w:bookmarkStart w:id="54" w:name="heading_9"/>
      <w:bookmarkStart w:id="55" w:name="_Toc4890"/>
      <w:r>
        <w:rPr>
          <w:rFonts w:ascii="Arial" w:hAnsi="Arial" w:eastAsia="等线" w:cs="Arial"/>
          <w:b/>
          <w:sz w:val="32"/>
        </w:rPr>
        <w:t>六、安全与文明施工技术要求</w:t>
      </w:r>
      <w:bookmarkEnd w:id="54"/>
      <w:bookmarkEnd w:id="55"/>
    </w:p>
    <w:p w14:paraId="455FD218">
      <w:pPr>
        <w:spacing w:before="120" w:after="120" w:line="288" w:lineRule="auto"/>
        <w:ind w:left="0" w:firstLine="500" w:firstLineChars="0"/>
        <w:jc w:val="left"/>
      </w:pPr>
      <w:r>
        <w:rPr>
          <w:rFonts w:ascii="Arial" w:hAnsi="Arial" w:eastAsia="等线" w:cs="Arial"/>
          <w:sz w:val="22"/>
        </w:rPr>
        <w:t>1. 所有特种作业人员必须持证上岗，岗前完成专项技术及安全培训，熟知燃气管道施工风险及设计施工禁忌要求，严格按方案作业。</w:t>
      </w:r>
    </w:p>
    <w:p w14:paraId="2E62AFFF">
      <w:pPr>
        <w:spacing w:before="120" w:after="120" w:line="288" w:lineRule="auto"/>
        <w:ind w:left="0" w:firstLine="500" w:firstLineChars="0"/>
        <w:jc w:val="left"/>
      </w:pPr>
      <w:r>
        <w:rPr>
          <w:rFonts w:ascii="Arial" w:hAnsi="Arial" w:eastAsia="等线" w:cs="Arial"/>
          <w:sz w:val="22"/>
        </w:rPr>
        <w:t>2. 管道动火、有限空间、深沟槽开挖等高风险作业，严格执行专项方案及作业许可制度，配齐监护人员、消防设备及应急物资，遵守动火安全距离规范，杜绝违规作业。</w:t>
      </w:r>
    </w:p>
    <w:p w14:paraId="34D3794F">
      <w:pPr>
        <w:spacing w:before="120" w:after="120" w:line="288" w:lineRule="auto"/>
        <w:ind w:left="0" w:firstLine="500" w:firstLineChars="0"/>
        <w:jc w:val="left"/>
      </w:pPr>
      <w:r>
        <w:rPr>
          <w:rFonts w:ascii="Arial" w:hAnsi="Arial" w:eastAsia="等线" w:cs="Arial"/>
          <w:sz w:val="22"/>
        </w:rPr>
        <w:t>3. 施工前复核地下管线及构筑物位置，结合图纸设计管线间距要求施工，严控管线安全距离，杜绝第三方管线破坏事故。</w:t>
      </w:r>
    </w:p>
    <w:p w14:paraId="3E4C688E">
      <w:pPr>
        <w:spacing w:before="120" w:after="120" w:line="288" w:lineRule="auto"/>
        <w:ind w:left="0" w:firstLine="500" w:firstLineChars="0"/>
        <w:jc w:val="left"/>
      </w:pPr>
      <w:r>
        <w:rPr>
          <w:rFonts w:ascii="Arial" w:hAnsi="Arial" w:eastAsia="等线" w:cs="Arial"/>
          <w:sz w:val="22"/>
        </w:rPr>
        <w:t>4. 施工现场落实标准化文明施工要求，设置安全警示标识、围挡防护，做好扬尘、噪声、污水管控，减少施工扰民，符合环保及现场管理要求。</w:t>
      </w:r>
    </w:p>
    <w:p w14:paraId="3BEA79E9">
      <w:pPr>
        <w:spacing w:before="120" w:after="120" w:line="288" w:lineRule="auto"/>
        <w:ind w:left="0" w:firstLine="500" w:firstLineChars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5. 编制管道泄漏、沟槽坍塌、动火事故等专项应急预案，做好应急值守，确保突发问题快速处置，保障施工安全。</w:t>
      </w:r>
    </w:p>
    <w:p w14:paraId="61214946">
      <w:pPr>
        <w:spacing w:before="120" w:after="120" w:line="288" w:lineRule="auto"/>
        <w:ind w:left="0" w:firstLine="500" w:firstLineChars="0"/>
        <w:jc w:val="left"/>
        <w:rPr>
          <w:rFonts w:hint="default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6.</w:t>
      </w:r>
      <w:r>
        <w:rPr>
          <w:rFonts w:ascii="Arial" w:hAnsi="Arial" w:eastAsia="等线" w:cs="Arial"/>
          <w:sz w:val="22"/>
        </w:rPr>
        <w:t>学校无论开学、放假期间，均须按照学校要求落实现场围蔽工作，施工作业严格执行学校准许的施工时间段。</w:t>
      </w:r>
      <w:bookmarkStart w:id="62" w:name="_GoBack"/>
      <w:bookmarkEnd w:id="62"/>
    </w:p>
    <w:p w14:paraId="69F3E12F">
      <w:pPr>
        <w:spacing w:before="320" w:after="120" w:line="288" w:lineRule="auto"/>
        <w:ind w:left="0"/>
        <w:jc w:val="left"/>
        <w:outlineLvl w:val="1"/>
      </w:pPr>
      <w:bookmarkStart w:id="56" w:name="heading_10"/>
      <w:bookmarkStart w:id="57" w:name="_Toc2007"/>
      <w:r>
        <w:rPr>
          <w:rFonts w:ascii="Arial" w:hAnsi="Arial" w:eastAsia="等线" w:cs="Arial"/>
          <w:b/>
          <w:sz w:val="32"/>
        </w:rPr>
        <w:t>七、进度管控要求</w:t>
      </w:r>
      <w:bookmarkEnd w:id="56"/>
      <w:bookmarkEnd w:id="57"/>
    </w:p>
    <w:p w14:paraId="78FF7D65">
      <w:pPr>
        <w:spacing w:before="120" w:after="120" w:line="288" w:lineRule="auto"/>
        <w:ind w:left="0" w:firstLine="500" w:firstLineChars="0"/>
        <w:jc w:val="left"/>
      </w:pPr>
      <w:r>
        <w:rPr>
          <w:rFonts w:ascii="Arial" w:hAnsi="Arial" w:eastAsia="等线" w:cs="Arial"/>
          <w:sz w:val="22"/>
        </w:rPr>
        <w:t>1. 严格按照项目总体进度计划，结合图纸施工工序，细化管沟开挖、管道敷设、设备安装、试验验收各节点工期，合理排布施工工序。</w:t>
      </w:r>
    </w:p>
    <w:p w14:paraId="0033E0D1">
      <w:pPr>
        <w:spacing w:before="120" w:after="120" w:line="288" w:lineRule="auto"/>
        <w:ind w:left="0" w:firstLine="500" w:firstLineChars="0"/>
        <w:jc w:val="left"/>
      </w:pPr>
      <w:r>
        <w:rPr>
          <w:rFonts w:ascii="Arial" w:hAnsi="Arial" w:eastAsia="等线" w:cs="Arial"/>
          <w:sz w:val="22"/>
        </w:rPr>
        <w:t>2. 技术人员全程跟进现场施工，及时解决图纸落实、工艺适配、现场冲突等技术问题，杜绝技术问题延误工期。</w:t>
      </w:r>
    </w:p>
    <w:p w14:paraId="47E939A4">
      <w:pPr>
        <w:spacing w:before="120" w:after="120" w:line="288" w:lineRule="auto"/>
        <w:ind w:left="0" w:firstLine="500" w:firstLineChars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3. 定期核对施工进度，优化施工组织，确保工程按计划完成全部施工、试验及竣工验收工作。</w:t>
      </w:r>
    </w:p>
    <w:p w14:paraId="5C11A34C">
      <w:pPr>
        <w:spacing w:before="120" w:after="120" w:line="288" w:lineRule="auto"/>
        <w:ind w:left="0" w:firstLine="500" w:firstLineChars="0"/>
        <w:jc w:val="left"/>
        <w:rPr>
          <w:rFonts w:hint="eastAsia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4.</w:t>
      </w:r>
      <w:r>
        <w:rPr>
          <w:rFonts w:ascii="Arial" w:hAnsi="Arial" w:eastAsia="等线" w:cs="Arial"/>
          <w:sz w:val="22"/>
        </w:rPr>
        <w:t>承包人须配合食堂土建、装修、厨房设备施工进度同步穿插施工，确保在食堂正式投用前完成全部系统施工、调试及验收，具体工期以甲方总体进度计划为准。</w:t>
      </w:r>
    </w:p>
    <w:p w14:paraId="01B6E828">
      <w:pPr>
        <w:spacing w:before="320" w:after="120" w:line="288" w:lineRule="auto"/>
        <w:ind w:left="0"/>
        <w:jc w:val="left"/>
        <w:outlineLvl w:val="1"/>
      </w:pPr>
      <w:bookmarkStart w:id="58" w:name="_Toc26804"/>
      <w:bookmarkStart w:id="59" w:name="heading_11"/>
      <w:r>
        <w:rPr>
          <w:rFonts w:hint="eastAsia" w:ascii="Arial" w:hAnsi="Arial" w:eastAsia="等线" w:cs="Arial"/>
          <w:b/>
          <w:sz w:val="32"/>
          <w:lang w:val="en-US" w:eastAsia="zh-CN"/>
        </w:rPr>
        <w:t>八</w:t>
      </w:r>
      <w:r>
        <w:rPr>
          <w:rFonts w:ascii="Arial" w:hAnsi="Arial" w:eastAsia="等线" w:cs="Arial"/>
          <w:b/>
          <w:sz w:val="32"/>
        </w:rPr>
        <w:t>、验收与移交要求</w:t>
      </w:r>
      <w:bookmarkEnd w:id="58"/>
      <w:bookmarkEnd w:id="59"/>
    </w:p>
    <w:p w14:paraId="2F309E24">
      <w:pPr>
        <w:spacing w:before="120" w:after="120" w:line="288" w:lineRule="auto"/>
        <w:ind w:left="0" w:firstLine="500" w:firstLineChars="0"/>
        <w:jc w:val="left"/>
      </w:pPr>
      <w:r>
        <w:rPr>
          <w:rFonts w:ascii="Arial" w:hAnsi="Arial" w:eastAsia="等线" w:cs="Arial"/>
          <w:sz w:val="22"/>
        </w:rPr>
        <w:t>1. 工程完工后，对照设计图纸及设计说明开展全面自检，彻底整改质量、安全隐患，整理全套竣工资料，提交竣工验收申请。</w:t>
      </w:r>
    </w:p>
    <w:p w14:paraId="5B723E4B">
      <w:pPr>
        <w:spacing w:before="120" w:after="120" w:line="288" w:lineRule="auto"/>
        <w:ind w:left="0" w:firstLine="500" w:firstLineChars="0"/>
        <w:jc w:val="left"/>
      </w:pPr>
      <w:r>
        <w:rPr>
          <w:rFonts w:ascii="Arial" w:hAnsi="Arial" w:eastAsia="等线" w:cs="Arial"/>
          <w:sz w:val="22"/>
        </w:rPr>
        <w:t>2. 积极配合建设、监理、燃气运营单位开展竣工验收、通气前核查工作，如实提供全套设计、施工、试验技术资料。</w:t>
      </w:r>
    </w:p>
    <w:p w14:paraId="4752A94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验收合格后，完成工程实体、竣工档案、运维资料全面移交，配合完成管网通气调试、参数校核及后期技术对接工作。</w:t>
      </w:r>
    </w:p>
    <w:p w14:paraId="2FB1642D">
      <w:pPr>
        <w:spacing w:before="320" w:after="120" w:line="288" w:lineRule="auto"/>
        <w:ind w:left="0"/>
        <w:jc w:val="left"/>
        <w:outlineLvl w:val="1"/>
      </w:pPr>
      <w:bookmarkStart w:id="60" w:name="heading_12"/>
      <w:bookmarkStart w:id="61" w:name="_Toc24726"/>
      <w:r>
        <w:rPr>
          <w:rFonts w:ascii="Arial" w:hAnsi="Arial" w:eastAsia="等线" w:cs="Arial"/>
          <w:b/>
          <w:sz w:val="32"/>
        </w:rPr>
        <w:t>九、技术责任与附则</w:t>
      </w:r>
      <w:bookmarkEnd w:id="60"/>
      <w:bookmarkEnd w:id="61"/>
    </w:p>
    <w:p w14:paraId="2C9013CD">
      <w:pPr>
        <w:spacing w:before="120" w:after="120" w:line="288" w:lineRule="auto"/>
        <w:ind w:left="0" w:firstLine="500" w:firstLineChars="0"/>
        <w:jc w:val="left"/>
      </w:pPr>
      <w:r>
        <w:rPr>
          <w:rFonts w:ascii="Arial" w:hAnsi="Arial" w:eastAsia="等线" w:cs="Arial"/>
          <w:sz w:val="22"/>
        </w:rPr>
        <w:t>1. 本工程技术负责人对全部施工技术、图纸落实、施工质量、安全管控、资料归档工作负全责，严格执行本任务书及图纸设计要求。</w:t>
      </w:r>
    </w:p>
    <w:p w14:paraId="5D4A2016">
      <w:pPr>
        <w:spacing w:before="120" w:after="120" w:line="288" w:lineRule="auto"/>
        <w:ind w:left="0" w:firstLine="500" w:firstLineChars="0"/>
        <w:jc w:val="left"/>
      </w:pPr>
      <w:r>
        <w:rPr>
          <w:rFonts w:ascii="Arial" w:hAnsi="Arial" w:eastAsia="等线" w:cs="Arial"/>
          <w:sz w:val="22"/>
        </w:rPr>
        <w:t>2. 施工过程中严禁私自更改图纸设计参数、管材规格、施工工艺，如需设计变更，必须履行正式审批流程，经设计、建设单位确认后方可实施。</w:t>
      </w:r>
    </w:p>
    <w:p w14:paraId="793818BE">
      <w:pPr>
        <w:spacing w:before="120" w:after="120" w:line="288" w:lineRule="auto"/>
        <w:ind w:left="0" w:firstLine="500" w:firstLineChars="0"/>
        <w:jc w:val="left"/>
      </w:pPr>
      <w:r>
        <w:rPr>
          <w:rFonts w:ascii="Arial" w:hAnsi="Arial" w:eastAsia="等线" w:cs="Arial"/>
          <w:sz w:val="22"/>
        </w:rPr>
        <w:t>3. 本任务书未尽事宜，严格按照本工程设计图纸、设计说明、国家现行规范及项目合同要求执行。</w:t>
      </w:r>
    </w:p>
    <w:p w14:paraId="0F2D2F49">
      <w:pPr>
        <w:spacing w:before="120" w:after="120" w:line="288" w:lineRule="auto"/>
        <w:ind w:left="0"/>
        <w:jc w:val="left"/>
      </w:pPr>
    </w:p>
    <w:p w14:paraId="27CCAED3">
      <w:pPr>
        <w:spacing w:before="120" w:after="120" w:line="288" w:lineRule="auto"/>
        <w:ind w:left="0"/>
        <w:jc w:val="left"/>
      </w:pPr>
    </w:p>
    <w:sectPr>
      <w:footerReference r:id="rId4" w:type="default"/>
      <w:pgSz w:w="11905" w:h="16840"/>
      <w:pgNumType w:fmt="decimal"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8789F8">
    <w:pPr>
      <w:pStyle w:val="3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6E806185">
                <w:pPr>
                  <w:pStyle w:val="3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A32066">
    <w:r>
      <w:rPr>
        <w:sz w:val="21"/>
      </w:rPr>
      <w:pict>
        <v:shape id="_x0000_s4098" o:spid="_x0000_s4098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18FB812D">
                <w:pPr>
                  <w:pStyle w:val="3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hdrShapeDefaults>
    <o:shapelayout v:ext="edit">
      <o:idmap v:ext="edit" data="3,4"/>
    </o:shapelayout>
  </w:hdrShapeDefaults>
  <w:compat>
    <w:doNotExpandShiftReturn/>
    <w:doNotWrapTextWithPunct/>
    <w:doNotUseEastAsianBreakRules/>
    <w:useFELayout/>
    <w:splitPgBreakAndParaMark/>
    <w:compatSetting w:name="compatibilityMode" w:uri="http://schemas.microsoft.com/office/word" w:val="12"/>
  </w:compat>
  <w:rsids>
    <w:rsidRoot w:val="00000000"/>
    <w:rsid w:val="1C667FE6"/>
    <w:rsid w:val="1FE40F08"/>
    <w:rsid w:val="243163FC"/>
    <w:rsid w:val="315D1BD2"/>
    <w:rsid w:val="48B56441"/>
    <w:rsid w:val="5BAD1D3E"/>
    <w:rsid w:val="5C2F1CE4"/>
    <w:rsid w:val="5F41673E"/>
    <w:rsid w:val="67D842C4"/>
    <w:rsid w:val="6C70097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basedOn w:val="1"/>
    <w:next w:val="1"/>
    <w:qFormat/>
    <w:uiPriority w:val="0"/>
    <w:pPr>
      <w:ind w:left="840" w:leftChars="4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toc 1"/>
    <w:basedOn w:val="1"/>
    <w:next w:val="1"/>
    <w:qFormat/>
    <w:uiPriority w:val="0"/>
  </w:style>
  <w:style w:type="paragraph" w:styleId="6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7">
    <w:name w:val="toc 2"/>
    <w:basedOn w:val="1"/>
    <w:next w:val="1"/>
    <w:qFormat/>
    <w:uiPriority w:val="0"/>
    <w:pPr>
      <w:ind w:left="420" w:leftChars="200"/>
    </w:pPr>
  </w:style>
  <w:style w:type="paragraph" w:styleId="8">
    <w:name w:val="Title"/>
    <w:basedOn w:val="1"/>
    <w:next w:val="1"/>
    <w:qFormat/>
    <w:uiPriority w:val="99"/>
    <w:pPr>
      <w:spacing w:after="300" w:line="240" w:lineRule="auto"/>
      <w:contextualSpacing/>
    </w:pPr>
    <w:rPr>
      <w:smallCaps/>
      <w:sz w:val="52"/>
      <w:szCs w:val="52"/>
      <w:lang w:eastAsia="zh-CN" w:bidi="ar-SA"/>
    </w:rPr>
  </w:style>
  <w:style w:type="character" w:styleId="11">
    <w:name w:val="footnote reference"/>
    <w:basedOn w:val="10"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  <customShpInfo spid="_x0000_s4098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3896</Words>
  <Characters>4095</Characters>
  <TotalTime>11</TotalTime>
  <ScaleCrop>false</ScaleCrop>
  <LinksUpToDate>false</LinksUpToDate>
  <CharactersWithSpaces>4180</CharactersWithSpaces>
  <Application>WPS Office_12.1.0.28022_F1E327BC-269C-435d-A152-05C5408002CA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2026-07-27T05:47:00Z</dcterms:created>
  <dc:creator>Apache POI</dc:creator>
  <cp:lastModifiedBy>崔汉虎</cp:lastModifiedBy>
  <dcterms:modified xsi:type="dcterms:W3CDTF">2026-09-01T03:11:29Z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{"Label":"1","ContentProducer":"001191110102MACQD9K64010000","ProduceID":"7667080324132703432","ReservedCode1":"","ContentPropagator":"","PropagateID":"","ReservedCode2":""}</vt:lpwstr>
  </property>
  <property fmtid="{D5CDD505-2E9C-101B-9397-08002B2CF9AE}" pid="3" name="KSOTemplateDocerSaveRecord">
    <vt:lpwstr>eyJoZGlkIjoiMDM5OGExZGE1MzdiMzllOTQyMDViZTBkYjFhODFiMmEiLCJ1c2VySWQiOiIxMTU1NTkzMTIxIn0=</vt:lpwstr>
  </property>
  <property fmtid="{D5CDD505-2E9C-101B-9397-08002B2CF9AE}" pid="4" name="KSOProductBuildVer">
    <vt:lpwstr>2052-12.1.0.28022</vt:lpwstr>
  </property>
  <property fmtid="{D5CDD505-2E9C-101B-9397-08002B2CF9AE}" pid="5" name="ICV">
    <vt:lpwstr>22B99D6C4D1B4F868F8548453ACC5645_12</vt:lpwstr>
  </property>
</Properties>
</file>