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南湾首府物业中心工衣采购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（珠海正方物业管理有限公司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10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珠海正方物业管理有限公司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为统一南湾首府项目物业人员对外形象，现需采购一批工衣。</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壹万陆仟捌佰陆拾玖元玖角壹分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16869.91</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壹万陆仟捌佰陆拾玖元玖角壹分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16869.91</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南湾首府物业中心工衣采购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11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南湾首府物业中心工衣采购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珠海正方物业管理有限公司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10</w:t>
      </w:r>
      <w:bookmarkStart w:id="94" w:name="_GoBack"/>
      <w:bookmarkEnd w:id="94"/>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27664"/>
      <w:bookmarkStart w:id="4" w:name="_Toc15547"/>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17685"/>
      <w:bookmarkStart w:id="8" w:name="_Toc259090982"/>
      <w:bookmarkStart w:id="9" w:name="_Toc202251075"/>
      <w:bookmarkStart w:id="10" w:name="_Toc202251700"/>
      <w:bookmarkStart w:id="11" w:name="_Toc202816996"/>
      <w:bookmarkStart w:id="12" w:name="_Toc202820351"/>
      <w:bookmarkStart w:id="13" w:name="_Toc698"/>
      <w:bookmarkStart w:id="14" w:name="_Toc15317"/>
      <w:bookmarkStart w:id="15" w:name="_Toc276645579"/>
      <w:bookmarkStart w:id="16" w:name="_Toc16107"/>
      <w:bookmarkStart w:id="17" w:name="_Toc503427710"/>
      <w:bookmarkStart w:id="18" w:name="_Toc202254105"/>
      <w:bookmarkStart w:id="19" w:name="_Toc202819878"/>
      <w:bookmarkStart w:id="20" w:name="_Toc202252034"/>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59090983"/>
      <w:bookmarkStart w:id="22" w:name="_Toc24181"/>
      <w:bookmarkStart w:id="23" w:name="_Toc20366"/>
      <w:bookmarkStart w:id="24" w:name="_Toc13089"/>
      <w:bookmarkStart w:id="25" w:name="_Toc32660"/>
      <w:bookmarkStart w:id="26" w:name="_Toc503427711"/>
      <w:bookmarkStart w:id="27" w:name="_Toc276645580"/>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南湾首府物业中心工衣采购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17080"/>
      <w:bookmarkStart w:id="30" w:name="_Toc19817"/>
      <w:bookmarkStart w:id="31" w:name="_Toc19171"/>
      <w:bookmarkStart w:id="32" w:name="_Toc528"/>
      <w:bookmarkStart w:id="33" w:name="_Toc503427713"/>
      <w:bookmarkStart w:id="34" w:name="_Toc27591"/>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南湾首府物业中心工衣采购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若供应商为个体户，则需未被列入“国家企业信用信息公示系统”网站（www.gsxt.gov.cn）“经营异常或严重违法失信”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6220"/>
      <w:bookmarkStart w:id="36" w:name="_Toc5048"/>
      <w:bookmarkStart w:id="37" w:name="_Toc31767"/>
      <w:bookmarkStart w:id="38" w:name="_Toc10585"/>
      <w:bookmarkStart w:id="39" w:name="_Toc24356"/>
      <w:bookmarkStart w:id="40" w:name="_Toc10559"/>
      <w:bookmarkStart w:id="41" w:name="_Toc13922"/>
      <w:bookmarkStart w:id="42" w:name="_Toc26971"/>
      <w:bookmarkStart w:id="43" w:name="_Toc31877"/>
      <w:bookmarkStart w:id="44" w:name="_Toc15464"/>
      <w:bookmarkStart w:id="45" w:name="_Toc9476"/>
      <w:bookmarkStart w:id="46" w:name="_Toc24969"/>
      <w:bookmarkStart w:id="47" w:name="_Toc19796"/>
      <w:bookmarkStart w:id="48" w:name="_Toc32141"/>
      <w:bookmarkStart w:id="49" w:name="_Toc19969"/>
      <w:bookmarkStart w:id="50" w:name="_Toc14285"/>
      <w:bookmarkStart w:id="51" w:name="_Toc32498"/>
      <w:bookmarkStart w:id="52" w:name="_Toc4726"/>
      <w:bookmarkStart w:id="53" w:name="_Toc276645583"/>
      <w:bookmarkStart w:id="54" w:name="_Toc4427"/>
      <w:bookmarkStart w:id="55" w:name="_Toc264628882"/>
      <w:bookmarkStart w:id="56" w:name="_Toc27468"/>
      <w:bookmarkStart w:id="57" w:name="_Toc6275"/>
      <w:bookmarkStart w:id="58" w:name="_Toc503427714"/>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ascii="宋体" w:hAnsi="宋体" w:eastAsia="宋体" w:cs="宋体"/>
          <w:kern w:val="28"/>
          <w:sz w:val="24"/>
          <w:szCs w:val="24"/>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必须是在中华人民共和国境内注册的、具有独立承担民事责任能力的法人或其他组织及个体工商户，持有合法有效的法人营业执照或登记证书</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pP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珠海正方物业管理有限公司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1572"/>
      <w:bookmarkStart w:id="61" w:name="_Toc202820355"/>
      <w:bookmarkStart w:id="62" w:name="_Toc3330"/>
      <w:bookmarkStart w:id="63" w:name="_Toc202251703"/>
      <w:bookmarkStart w:id="64" w:name="_Toc202254108"/>
      <w:bookmarkStart w:id="65" w:name="_Toc503427721"/>
      <w:bookmarkStart w:id="66" w:name="_Toc12992"/>
      <w:bookmarkStart w:id="67" w:name="_Toc202252037"/>
      <w:bookmarkStart w:id="68" w:name="_Toc259090996"/>
      <w:bookmarkStart w:id="69" w:name="_Toc24253"/>
      <w:bookmarkStart w:id="70" w:name="_Toc202817000"/>
      <w:bookmarkStart w:id="71" w:name="_Toc202251078"/>
      <w:bookmarkStart w:id="72" w:name="_Toc276645592"/>
      <w:bookmarkStart w:id="73" w:name="_Toc202819882"/>
      <w:bookmarkStart w:id="74" w:name="_Toc29543"/>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7304"/>
      <w:bookmarkStart w:id="76" w:name="_Toc10726"/>
      <w:bookmarkStart w:id="77" w:name="_Toc5662"/>
      <w:bookmarkStart w:id="78" w:name="_Toc24446"/>
      <w:bookmarkStart w:id="79" w:name="_Toc30192"/>
      <w:bookmarkStart w:id="80" w:name="_Toc5278"/>
      <w:bookmarkStart w:id="81" w:name="_Toc22499"/>
      <w:bookmarkStart w:id="82" w:name="_Toc113"/>
      <w:bookmarkStart w:id="83" w:name="_Toc500"/>
      <w:bookmarkStart w:id="84" w:name="_Toc32145"/>
      <w:bookmarkStart w:id="85" w:name="_Toc6669"/>
      <w:bookmarkStart w:id="86" w:name="_Toc3193"/>
      <w:bookmarkStart w:id="87" w:name="_Toc16860"/>
      <w:bookmarkStart w:id="88" w:name="_Toc9094"/>
      <w:bookmarkStart w:id="89" w:name="_Toc2576"/>
      <w:bookmarkStart w:id="90" w:name="_Toc29470"/>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8886"/>
      <w:bookmarkStart w:id="92" w:name="_Toc29247"/>
      <w:bookmarkStart w:id="93" w:name="_Toc17294"/>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若供应商为个体户，则需未被列入“国家企业信用信息公示系统”网站（www.gsxt.gov.cn）“经营异常或严重违法失信”记录名单</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南湾首府物业中心工衣采购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珠海正方物业管理有限公司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eastAsia="zh-CN"/>
        </w:rPr>
        <w:t>（</w:t>
      </w:r>
      <w:r>
        <w:rPr>
          <w:rFonts w:hint="eastAsia" w:cs="Times New Roman"/>
          <w:color w:val="auto"/>
          <w:sz w:val="28"/>
          <w:szCs w:val="28"/>
          <w:lang w:val="en-US" w:eastAsia="zh-CN"/>
        </w:rPr>
        <w:t>南湾首府物业中心工衣采购</w:t>
      </w:r>
      <w:r>
        <w:rPr>
          <w:rFonts w:hint="eastAsia" w:cs="Times New Roman"/>
          <w:color w:val="auto"/>
          <w:sz w:val="28"/>
          <w:szCs w:val="28"/>
          <w:lang w:eastAsia="zh-CN"/>
        </w:rPr>
        <w:t>）</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p>
    <w:p>
      <w:pPr>
        <w:spacing w:line="360" w:lineRule="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            元 （¥          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南湾首府物业中心工衣采购</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物料</w:t>
            </w:r>
            <w:r>
              <w:rPr>
                <w:rFonts w:hint="eastAsia" w:ascii="宋体" w:hAnsi="宋体" w:eastAsia="宋体" w:cs="宋体"/>
                <w:b/>
                <w:i w:val="0"/>
                <w:color w:val="000000"/>
                <w:kern w:val="0"/>
                <w:sz w:val="24"/>
                <w:szCs w:val="24"/>
                <w:u w:val="none"/>
                <w:lang w:val="en-US" w:eastAsia="zh-CN" w:bidi="ar"/>
              </w:rPr>
              <w:t>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规格明细</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女管理短袖衬衣（物业）</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100%棉+液氨免烫处理</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restart"/>
            <w:tcBorders>
              <w:top w:val="single" w:color="auto" w:sz="4" w:space="0"/>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样板见附件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女管理长袖衬衣（物业）</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100%棉+液氨免烫处理</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男管理短袖衬衣（物业）</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100%棉+液氨免烫处理</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男管理长袖衬衣（物业）</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100%棉+液氨免烫处理</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管理员西装（冬装）</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羊毛70 %聚酯纤维29.5导电纤维0.5</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纱织：100/2*100/2</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克重：270克/米抗皱，色牢度强</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6</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客服员西装（冬装）</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聚酯纤维78%黏胶纤维29%氨纶3%</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纱织：50/2*32/1</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克重：320克/米色牢度强，挺括，垂感好</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7</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w:t>
            </w:r>
            <w:r>
              <w:rPr>
                <w:rFonts w:hint="eastAsia" w:hAnsi="宋体" w:cs="宋体"/>
                <w:b/>
                <w:bCs/>
                <w:color w:val="FF0000"/>
                <w:sz w:val="22"/>
                <w:szCs w:val="22"/>
                <w:highlight w:val="yellow"/>
                <w:lang w:val="en-US" w:eastAsia="zh-CN"/>
              </w:rPr>
              <w:t>要求中秋节前送货</w:t>
            </w:r>
            <w:r>
              <w:rPr>
                <w:rFonts w:hint="eastAsia" w:hAnsi="宋体" w:cs="宋体"/>
                <w:color w:val="auto"/>
                <w:sz w:val="22"/>
                <w:szCs w:val="22"/>
                <w:lang w:val="en-US" w:eastAsia="zh-CN"/>
              </w:rPr>
              <w:t>，送货地址：南湾首府，联系人：李虹</w:t>
            </w:r>
            <w:r>
              <w:rPr>
                <w:rFonts w:hint="eastAsia" w:ascii="宋体" w:hAnsi="宋体" w:eastAsia="宋体" w:cs="宋体"/>
                <w:color w:val="auto"/>
                <w:sz w:val="22"/>
                <w:szCs w:val="22"/>
                <w:lang w:val="en-US" w:eastAsia="zh-CN"/>
              </w:rPr>
              <w:t>。</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宋体" w:hAnsi="宋体"/>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lang w:val="en-US" w:eastAsia="zh-CN"/>
        </w:rPr>
      </w:pPr>
      <w:r>
        <w:rPr>
          <w:rFonts w:hint="eastAsia" w:ascii="宋体" w:hAnsi="宋体"/>
          <w:sz w:val="24"/>
          <w:szCs w:val="24"/>
          <w:lang w:val="en-US" w:eastAsia="zh-CN"/>
        </w:rPr>
        <w:t>附件1：样板图片</w:t>
      </w:r>
    </w:p>
    <w:p>
      <w:pPr>
        <w:pStyle w:val="2"/>
        <w:ind w:left="0" w:leftChars="0" w:firstLine="0" w:firstLineChars="0"/>
        <w:rPr>
          <w:rFonts w:hint="default"/>
          <w:lang w:val="en-US" w:eastAsia="zh-CN"/>
        </w:rPr>
      </w:pPr>
      <w:r>
        <w:rPr>
          <w:rFonts w:hint="default"/>
          <w:lang w:val="en-US" w:eastAsia="zh-CN"/>
        </w:rPr>
        <w:drawing>
          <wp:anchor distT="0" distB="0" distL="114300" distR="114300" simplePos="0" relativeHeight="251665408" behindDoc="0" locked="0" layoutInCell="1" allowOverlap="1">
            <wp:simplePos x="0" y="0"/>
            <wp:positionH relativeFrom="column">
              <wp:posOffset>2061210</wp:posOffset>
            </wp:positionH>
            <wp:positionV relativeFrom="paragraph">
              <wp:posOffset>105410</wp:posOffset>
            </wp:positionV>
            <wp:extent cx="2698750" cy="3599815"/>
            <wp:effectExtent l="0" t="0" r="6350" b="635"/>
            <wp:wrapNone/>
            <wp:docPr id="6" name="图片 6" descr="裤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裤子"/>
                    <pic:cNvPicPr>
                      <a:picLocks noChangeAspect="1"/>
                    </pic:cNvPicPr>
                  </pic:nvPicPr>
                  <pic:blipFill>
                    <a:blip r:embed="rId9"/>
                    <a:stretch>
                      <a:fillRect/>
                    </a:stretch>
                  </pic:blipFill>
                  <pic:spPr>
                    <a:xfrm>
                      <a:off x="0" y="0"/>
                      <a:ext cx="2698750" cy="3599815"/>
                    </a:xfrm>
                    <a:prstGeom prst="rect">
                      <a:avLst/>
                    </a:prstGeom>
                  </pic:spPr>
                </pic:pic>
              </a:graphicData>
            </a:graphic>
          </wp:anchor>
        </w:drawing>
      </w:r>
      <w:r>
        <w:rPr>
          <w:rFonts w:hint="default"/>
          <w:lang w:val="en-US" w:eastAsia="zh-CN"/>
        </w:rPr>
        <w:drawing>
          <wp:inline distT="0" distB="0" distL="114300" distR="114300">
            <wp:extent cx="2025015" cy="3599815"/>
            <wp:effectExtent l="0" t="0" r="13335" b="635"/>
            <wp:docPr id="7" name="图片 7" descr="西装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西装照片"/>
                    <pic:cNvPicPr>
                      <a:picLocks noChangeAspect="1"/>
                    </pic:cNvPicPr>
                  </pic:nvPicPr>
                  <pic:blipFill>
                    <a:blip r:embed="rId10"/>
                    <a:stretch>
                      <a:fillRect/>
                    </a:stretch>
                  </pic:blipFill>
                  <pic:spPr>
                    <a:xfrm>
                      <a:off x="0" y="0"/>
                      <a:ext cx="2025015" cy="3599815"/>
                    </a:xfrm>
                    <a:prstGeom prst="rect">
                      <a:avLst/>
                    </a:prstGeom>
                  </pic:spPr>
                </pic:pic>
              </a:graphicData>
            </a:graphic>
          </wp:inline>
        </w:drawing>
      </w:r>
    </w:p>
    <w:p>
      <w:pPr>
        <w:pStyle w:val="2"/>
        <w:ind w:left="0" w:leftChars="0" w:firstLine="0" w:firstLineChars="0"/>
        <w:rPr>
          <w:rFonts w:hint="default"/>
          <w:lang w:val="en-US" w:eastAsia="zh-CN"/>
        </w:rPr>
      </w:pPr>
      <w:r>
        <w:rPr>
          <w:rFonts w:hint="default"/>
          <w:lang w:val="en-US" w:eastAsia="zh-CN"/>
        </w:rPr>
        <w:drawing>
          <wp:inline distT="0" distB="0" distL="114300" distR="114300">
            <wp:extent cx="3589020" cy="2691765"/>
            <wp:effectExtent l="0" t="0" r="13335" b="11430"/>
            <wp:docPr id="4" name="图片 4" descr="c294674d7df982bfc112bb3768059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294674d7df982bfc112bb3768059e87"/>
                    <pic:cNvPicPr>
                      <a:picLocks noChangeAspect="1"/>
                    </pic:cNvPicPr>
                  </pic:nvPicPr>
                  <pic:blipFill>
                    <a:blip r:embed="rId11"/>
                    <a:stretch>
                      <a:fillRect/>
                    </a:stretch>
                  </pic:blipFill>
                  <pic:spPr>
                    <a:xfrm rot="5400000">
                      <a:off x="0" y="0"/>
                      <a:ext cx="3589020" cy="2691765"/>
                    </a:xfrm>
                    <a:prstGeom prst="rect">
                      <a:avLst/>
                    </a:prstGeom>
                  </pic:spPr>
                </pic:pic>
              </a:graphicData>
            </a:graphic>
          </wp:inline>
        </w:drawing>
      </w:r>
      <w:r>
        <w:rPr>
          <w:rFonts w:hint="default"/>
          <w:lang w:val="en-US" w:eastAsia="zh-CN"/>
        </w:rPr>
        <w:drawing>
          <wp:inline distT="0" distB="0" distL="114300" distR="114300">
            <wp:extent cx="2700020" cy="3599815"/>
            <wp:effectExtent l="0" t="0" r="5080" b="635"/>
            <wp:docPr id="5" name="图片 5" descr="短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短袖"/>
                    <pic:cNvPicPr>
                      <a:picLocks noChangeAspect="1"/>
                    </pic:cNvPicPr>
                  </pic:nvPicPr>
                  <pic:blipFill>
                    <a:blip r:embed="rId12"/>
                    <a:stretch>
                      <a:fillRect/>
                    </a:stretch>
                  </pic:blipFill>
                  <pic:spPr>
                    <a:xfrm>
                      <a:off x="0" y="0"/>
                      <a:ext cx="2700020" cy="3599815"/>
                    </a:xfrm>
                    <a:prstGeom prst="rect">
                      <a:avLst/>
                    </a:prstGeom>
                  </pic:spPr>
                </pic:pic>
              </a:graphicData>
            </a:graphic>
          </wp:inline>
        </w:drawing>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9623BD"/>
    <w:rsid w:val="50DB0041"/>
    <w:rsid w:val="50E46FDC"/>
    <w:rsid w:val="518A0729"/>
    <w:rsid w:val="51A74963"/>
    <w:rsid w:val="54032B60"/>
    <w:rsid w:val="545F0E76"/>
    <w:rsid w:val="551F30DA"/>
    <w:rsid w:val="55233FA3"/>
    <w:rsid w:val="555801ED"/>
    <w:rsid w:val="55AF6717"/>
    <w:rsid w:val="56213D59"/>
    <w:rsid w:val="56DB22E8"/>
    <w:rsid w:val="57852512"/>
    <w:rsid w:val="57AB174E"/>
    <w:rsid w:val="584F6981"/>
    <w:rsid w:val="59A575EF"/>
    <w:rsid w:val="5AC64570"/>
    <w:rsid w:val="5AD567B7"/>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5</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2026-09-10T02:24:59Z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