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南湾首府中秋邻里喜乐会活动（第二次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11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0"/>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0"/>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南湾首府项目申请开展中秋邻里喜乐会社区活动，用于丰富业主业余生活，增进邻里关系。</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贰万元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贰万元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南湾首府中秋邻里喜乐会活动（第二次）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w:t>
      </w:r>
      <w:r>
        <w:rPr>
          <w:rFonts w:hint="eastAsia" w:cs="Times New Roman"/>
          <w:b w:val="0"/>
          <w:bCs w:val="0"/>
          <w:color w:val="auto"/>
          <w:sz w:val="24"/>
          <w:lang w:val="en-US" w:eastAsia="zh-CN"/>
        </w:rPr>
        <w:t>或</w:t>
      </w:r>
      <w:r>
        <w:rPr>
          <w:rFonts w:hint="default" w:ascii="Times New Roman" w:hAnsi="Times New Roman" w:eastAsia="宋体" w:cs="Times New Roman"/>
          <w:b w:val="0"/>
          <w:bCs w:val="0"/>
          <w:color w:val="auto"/>
          <w:sz w:val="24"/>
        </w:rPr>
        <w:t>其他组织，持有合法有效营业执照；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2.自公告发布之日起近3年具备2个及以上活动策划经验及执行业绩执行项目业绩；</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3.供应商未被列入“信用中国”网站(www.creditchina.gov.cn)“记录失信被执行人或重大税收违法失信主体”记录名单；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2"/>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14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南湾首府中秋邻里喜乐会活动（</w:t>
      </w:r>
      <w:r>
        <w:rPr>
          <w:rFonts w:hint="eastAsia" w:cs="Times New Roman"/>
          <w:color w:val="auto"/>
          <w:sz w:val="24"/>
          <w:lang w:val="en-US" w:eastAsia="zh-CN"/>
        </w:rPr>
        <w:t>第二次</w:t>
      </w:r>
      <w:r>
        <w:rPr>
          <w:rFonts w:hint="eastAsia" w:cs="Times New Roman"/>
          <w:color w:val="auto"/>
          <w:sz w:val="24"/>
          <w:lang w:eastAsia="zh-CN"/>
        </w:rPr>
        <w:t>）</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5"/>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5"/>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5"/>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5"/>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5"/>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5"/>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5"/>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5"/>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19"/>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20"/>
        <w:ind w:firstLine="480" w:firstLineChars="200"/>
        <w:rPr>
          <w:rFonts w:hint="default" w:ascii="Times New Roman" w:hAnsi="Times New Roman" w:eastAsia="宋体" w:cs="Times New Roman"/>
          <w:color w:val="auto"/>
          <w:sz w:val="24"/>
          <w:szCs w:val="24"/>
        </w:rPr>
      </w:pPr>
    </w:p>
    <w:p>
      <w:pPr>
        <w:pStyle w:val="20"/>
        <w:jc w:val="right"/>
        <w:rPr>
          <w:rFonts w:hint="eastAsia" w:ascii="宋体" w:hAnsi="宋体" w:eastAsia="宋体" w:cs="宋体"/>
          <w:color w:val="auto"/>
          <w:sz w:val="24"/>
          <w:szCs w:val="24"/>
        </w:rPr>
      </w:pPr>
    </w:p>
    <w:p>
      <w:pPr>
        <w:pStyle w:val="20"/>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20"/>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 xml:space="preserve"> 日</w:t>
      </w: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pPr>
        <w:pStyle w:val="5"/>
        <w:spacing w:line="360" w:lineRule="auto"/>
        <w:rPr>
          <w:rFonts w:hint="eastAsia" w:ascii="黑体" w:hAnsi="黑体" w:eastAsia="黑体" w:cs="黑体"/>
          <w:b/>
          <w:bCs w:val="0"/>
          <w:sz w:val="28"/>
          <w:szCs w:val="28"/>
        </w:rPr>
      </w:pPr>
      <w:bookmarkStart w:id="7" w:name="_Toc202251700"/>
      <w:bookmarkStart w:id="8" w:name="_Toc17685"/>
      <w:bookmarkStart w:id="9" w:name="_Toc202820351"/>
      <w:bookmarkStart w:id="10" w:name="_Toc202251075"/>
      <w:bookmarkStart w:id="11" w:name="_Toc698"/>
      <w:bookmarkStart w:id="12" w:name="_Toc16107"/>
      <w:bookmarkStart w:id="13" w:name="_Toc202816996"/>
      <w:bookmarkStart w:id="14" w:name="_Toc202819878"/>
      <w:bookmarkStart w:id="15" w:name="_Toc202254105"/>
      <w:bookmarkStart w:id="16" w:name="_Toc202252034"/>
      <w:bookmarkStart w:id="17" w:name="_Toc276645579"/>
      <w:bookmarkStart w:id="18" w:name="_Toc259090982"/>
      <w:bookmarkStart w:id="19" w:name="_Toc15317"/>
      <w:bookmarkStart w:id="20" w:name="_Toc503427710"/>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259090983"/>
      <w:bookmarkStart w:id="22" w:name="_Toc276645580"/>
      <w:bookmarkStart w:id="23" w:name="_Toc20366"/>
      <w:bookmarkStart w:id="24" w:name="_Toc24181"/>
      <w:bookmarkStart w:id="25" w:name="_Toc32660"/>
      <w:bookmarkStart w:id="26" w:name="_Toc503427711"/>
      <w:bookmarkStart w:id="27" w:name="_Toc13089"/>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南湾首府中秋邻里喜乐会活动（</w:t>
      </w:r>
      <w:r>
        <w:rPr>
          <w:rFonts w:hint="eastAsia" w:ascii="宋体" w:hAnsi="宋体"/>
          <w:kern w:val="0"/>
          <w:sz w:val="24"/>
          <w:u w:val="single"/>
          <w:lang w:val="en-US" w:eastAsia="zh-CN"/>
        </w:rPr>
        <w:t>第二次</w:t>
      </w:r>
      <w:r>
        <w:rPr>
          <w:rFonts w:hint="eastAsia" w:ascii="宋体" w:hAnsi="宋体"/>
          <w:kern w:val="0"/>
          <w:sz w:val="24"/>
          <w:u w:val="single"/>
          <w:lang w:eastAsia="zh-CN"/>
        </w:rPr>
        <w:t>）</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hint="eastAsia" w:ascii="宋体" w:hAnsi="宋体" w:eastAsia="宋体"/>
          <w:sz w:val="28"/>
          <w:lang w:val="en-US" w:eastAsia="zh-CN"/>
        </w:rPr>
      </w:pPr>
      <w:bookmarkStart w:id="29" w:name="_Toc27591"/>
      <w:bookmarkStart w:id="30" w:name="_Toc17080"/>
      <w:bookmarkStart w:id="31" w:name="_Toc528"/>
      <w:bookmarkStart w:id="32" w:name="_Toc19171"/>
      <w:bookmarkStart w:id="33" w:name="_Toc19817"/>
      <w:bookmarkStart w:id="34" w:name="_Toc503427713"/>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南湾首府中秋邻里喜乐会活动（</w:t>
      </w:r>
      <w:r>
        <w:rPr>
          <w:rFonts w:hint="eastAsia" w:ascii="宋体" w:hAnsi="宋体"/>
          <w:sz w:val="24"/>
          <w:u w:val="single"/>
          <w:lang w:val="en-US" w:eastAsia="zh-CN"/>
        </w:rPr>
        <w:t>第二次</w:t>
      </w:r>
      <w:r>
        <w:rPr>
          <w:rFonts w:hint="eastAsia" w:ascii="宋体" w:hAnsi="宋体"/>
          <w:sz w:val="24"/>
          <w:u w:val="single"/>
          <w:lang w:eastAsia="zh-CN"/>
        </w:rPr>
        <w:t>）</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35" w:name="_Toc15464"/>
      <w:bookmarkStart w:id="36" w:name="_Toc19969"/>
      <w:bookmarkStart w:id="37" w:name="_Toc32141"/>
      <w:bookmarkStart w:id="38" w:name="_Toc9476"/>
      <w:bookmarkStart w:id="39" w:name="_Toc13922"/>
      <w:bookmarkStart w:id="40" w:name="_Toc6220"/>
      <w:bookmarkStart w:id="41" w:name="_Toc26971"/>
      <w:bookmarkStart w:id="42" w:name="_Toc10559"/>
      <w:bookmarkStart w:id="43" w:name="_Toc31877"/>
      <w:bookmarkStart w:id="44" w:name="_Toc19796"/>
      <w:bookmarkStart w:id="45" w:name="_Toc10585"/>
      <w:bookmarkStart w:id="46" w:name="_Toc5048"/>
      <w:bookmarkStart w:id="47" w:name="_Toc14285"/>
      <w:bookmarkStart w:id="48" w:name="_Toc24356"/>
      <w:bookmarkStart w:id="49" w:name="_Toc24969"/>
      <w:bookmarkStart w:id="50" w:name="_Toc31767"/>
      <w:bookmarkStart w:id="51" w:name="_Toc4726"/>
      <w:bookmarkStart w:id="52" w:name="_Toc6275"/>
      <w:bookmarkStart w:id="53" w:name="_Toc264628882"/>
      <w:bookmarkStart w:id="54" w:name="_Toc27468"/>
      <w:bookmarkStart w:id="55" w:name="_Toc4427"/>
      <w:bookmarkStart w:id="56" w:name="_Toc276645583"/>
      <w:bookmarkStart w:id="57" w:name="_Toc503427714"/>
      <w:bookmarkStart w:id="58" w:name="_Toc32498"/>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59" w:name="_Toc21911"/>
      <w:r>
        <w:rPr>
          <w:rFonts w:hint="eastAsia" w:ascii="宋体" w:hAnsi="宋体" w:eastAsia="宋体"/>
          <w:sz w:val="28"/>
          <w:lang w:val="en-US" w:eastAsia="zh-CN"/>
        </w:rPr>
        <w:t>1.3.</w:t>
      </w:r>
      <w:bookmarkEnd w:id="59"/>
      <w:r>
        <w:rPr>
          <w:rFonts w:hint="eastAsia" w:ascii="宋体" w:hAnsi="宋体"/>
          <w:sz w:val="28"/>
          <w:lang w:val="en-US" w:eastAsia="zh-CN"/>
        </w:rPr>
        <w:t>2</w:t>
      </w:r>
      <w:r>
        <w:rPr>
          <w:rFonts w:hint="eastAsia" w:ascii="宋体" w:hAnsi="宋体" w:eastAsia="宋体"/>
          <w:sz w:val="28"/>
          <w:lang w:val="en-US" w:eastAsia="zh-CN"/>
        </w:rPr>
        <w:t>相关业绩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8"/>
          <w:sz w:val="24"/>
          <w:szCs w:val="24"/>
          <w:lang w:val="en-US" w:eastAsia="zh-CN" w:bidi="ar-SA"/>
        </w:rPr>
      </w:pPr>
      <w:r>
        <w:rPr>
          <w:rFonts w:hint="eastAsia" w:ascii="宋体" w:hAnsi="宋体" w:eastAsia="宋体" w:cs="宋体"/>
          <w:kern w:val="28"/>
          <w:sz w:val="24"/>
          <w:szCs w:val="24"/>
          <w:lang w:val="en-US" w:eastAsia="zh-CN" w:bidi="ar-SA"/>
        </w:rPr>
        <w:t>投标供应商提供合同或采购订单</w:t>
      </w:r>
      <w:r>
        <w:rPr>
          <w:rFonts w:hint="eastAsia" w:ascii="宋体" w:hAnsi="宋体" w:cs="宋体"/>
          <w:kern w:val="28"/>
          <w:sz w:val="24"/>
          <w:szCs w:val="24"/>
          <w:lang w:val="en-US" w:eastAsia="zh-CN" w:bidi="ar-SA"/>
        </w:rPr>
        <w:t>截图</w:t>
      </w:r>
      <w:r>
        <w:rPr>
          <w:rFonts w:hint="eastAsia" w:ascii="宋体" w:hAnsi="宋体" w:eastAsia="宋体" w:cs="宋体"/>
          <w:kern w:val="28"/>
          <w:sz w:val="24"/>
          <w:szCs w:val="24"/>
          <w:lang w:val="en-US" w:eastAsia="zh-CN" w:bidi="ar-SA"/>
        </w:rPr>
        <w:t>，要求有采购方</w:t>
      </w:r>
      <w:r>
        <w:rPr>
          <w:rFonts w:hint="eastAsia" w:ascii="宋体" w:hAnsi="宋体" w:cs="宋体"/>
          <w:kern w:val="28"/>
          <w:sz w:val="24"/>
          <w:szCs w:val="24"/>
          <w:lang w:val="en-US" w:eastAsia="zh-CN" w:bidi="ar-SA"/>
        </w:rPr>
        <w:t>及供货方</w:t>
      </w:r>
      <w:r>
        <w:rPr>
          <w:rFonts w:hint="eastAsia" w:ascii="宋体" w:hAnsi="宋体" w:eastAsia="宋体" w:cs="宋体"/>
          <w:kern w:val="28"/>
          <w:sz w:val="24"/>
          <w:szCs w:val="24"/>
          <w:lang w:val="en-US" w:eastAsia="zh-CN" w:bidi="ar-SA"/>
        </w:rPr>
        <w:t>名称</w:t>
      </w:r>
      <w:r>
        <w:rPr>
          <w:rFonts w:hint="eastAsia" w:ascii="宋体" w:hAnsi="宋体" w:cs="宋体"/>
          <w:kern w:val="28"/>
          <w:sz w:val="24"/>
          <w:szCs w:val="24"/>
          <w:lang w:val="en-US" w:eastAsia="zh-CN" w:bidi="ar-SA"/>
        </w:rPr>
        <w:t>并在复印件</w:t>
      </w:r>
      <w:r>
        <w:rPr>
          <w:rFonts w:hint="eastAsia" w:asciiTheme="minorEastAsia" w:hAnsiTheme="minorEastAsia" w:cstheme="minorEastAsia"/>
          <w:sz w:val="24"/>
          <w:szCs w:val="24"/>
          <w:lang w:val="en-US" w:eastAsia="zh-CN"/>
        </w:rPr>
        <w:t>加盖公章</w:t>
      </w:r>
      <w:r>
        <w:rPr>
          <w:rFonts w:hint="eastAsia" w:ascii="宋体" w:hAnsi="宋体" w:cs="宋体"/>
          <w:kern w:val="28"/>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sz w:val="24"/>
          <w:szCs w:val="24"/>
          <w:lang w:val="en-US" w:eastAsia="zh-CN"/>
        </w:rPr>
      </w:pPr>
      <w:bookmarkStart w:id="60" w:name="_Toc20437"/>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571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8"/>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p>
      <w:pPr>
        <w:pStyle w:val="6"/>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60"/>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19"/>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1" w:name="_Toc276645592"/>
      <w:bookmarkStart w:id="62" w:name="_Toc259090996"/>
      <w:bookmarkStart w:id="63" w:name="_Toc3330"/>
      <w:bookmarkStart w:id="64" w:name="_Toc202820355"/>
      <w:bookmarkStart w:id="65" w:name="_Toc12992"/>
      <w:bookmarkStart w:id="66" w:name="_Toc202817000"/>
      <w:bookmarkStart w:id="67" w:name="_Toc202819882"/>
      <w:bookmarkStart w:id="68" w:name="_Toc202254108"/>
      <w:bookmarkStart w:id="69" w:name="_Toc24253"/>
      <w:bookmarkStart w:id="70" w:name="_Toc21572"/>
      <w:bookmarkStart w:id="71" w:name="_Toc202252037"/>
      <w:bookmarkStart w:id="72" w:name="_Toc202251703"/>
      <w:bookmarkStart w:id="73" w:name="_Toc202251078"/>
      <w:bookmarkStart w:id="74" w:name="_Toc29543"/>
      <w:bookmarkStart w:id="75" w:name="_Toc503427721"/>
      <w:r>
        <w:rPr>
          <w:rFonts w:hint="eastAsia" w:ascii="黑体" w:hAnsi="黑体" w:cs="黑体"/>
          <w:b/>
          <w:bCs w:val="0"/>
          <w:sz w:val="28"/>
          <w:szCs w:val="28"/>
          <w:lang w:val="en-US" w:eastAsia="zh-CN"/>
        </w:rPr>
        <w:br w:type="page"/>
      </w:r>
    </w:p>
    <w:p>
      <w:pPr>
        <w:pStyle w:val="6"/>
        <w:spacing w:before="100" w:after="100" w:line="360" w:lineRule="auto"/>
        <w:rPr>
          <w:rFonts w:hint="eastAsia" w:ascii="宋体" w:hAnsi="宋体" w:eastAsia="宋体"/>
          <w:sz w:val="28"/>
          <w:lang w:val="en-US" w:eastAsia="zh-CN"/>
        </w:rPr>
      </w:pPr>
      <w:bookmarkStart w:id="76" w:name="_Toc10726"/>
      <w:bookmarkStart w:id="77" w:name="_Toc7304"/>
      <w:bookmarkStart w:id="78" w:name="_Toc5662"/>
      <w:bookmarkStart w:id="79" w:name="_Toc113"/>
      <w:bookmarkStart w:id="80" w:name="_Toc2576"/>
      <w:bookmarkStart w:id="81" w:name="_Toc500"/>
      <w:bookmarkStart w:id="82" w:name="_Toc22499"/>
      <w:bookmarkStart w:id="83" w:name="_Toc29470"/>
      <w:bookmarkStart w:id="84" w:name="_Toc16860"/>
      <w:bookmarkStart w:id="85" w:name="_Toc32145"/>
      <w:bookmarkStart w:id="86" w:name="_Toc9094"/>
      <w:bookmarkStart w:id="87" w:name="_Toc3193"/>
      <w:bookmarkStart w:id="88" w:name="_Toc24446"/>
      <w:bookmarkStart w:id="89" w:name="_Toc5278"/>
      <w:bookmarkStart w:id="90" w:name="_Toc6669"/>
      <w:bookmarkStart w:id="91" w:name="_Toc30192"/>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6"/>
      <w:bookmarkEnd w:id="77"/>
      <w:bookmarkEnd w:id="78"/>
      <w:bookmarkStart w:id="92" w:name="_Toc29247"/>
      <w:bookmarkStart w:id="93" w:name="_Toc28886"/>
      <w:bookmarkStart w:id="94"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6"/>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1"/>
                    <a:stretch>
                      <a:fillRect/>
                    </a:stretch>
                  </pic:blipFill>
                  <pic:spPr>
                    <a:xfrm>
                      <a:off x="0" y="0"/>
                      <a:ext cx="5270500" cy="6628130"/>
                    </a:xfrm>
                    <a:prstGeom prst="rect">
                      <a:avLst/>
                    </a:prstGeom>
                  </pic:spPr>
                </pic:pic>
              </a:graphicData>
            </a:graphic>
          </wp:inline>
        </w:drawing>
      </w:r>
    </w:p>
    <w:p>
      <w:pPr>
        <w:pStyle w:val="19"/>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6"/>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bookmarkStart w:id="95" w:name="_GoBack"/>
      <w:bookmarkEnd w:id="95"/>
      <w:r>
        <w:rPr>
          <w:rFonts w:hint="eastAsia" w:cs="Times New Roman"/>
          <w:bCs/>
          <w:color w:val="auto"/>
          <w:sz w:val="24"/>
          <w:szCs w:val="24"/>
          <w:u w:val="single"/>
          <w:lang w:val="en-US" w:eastAsia="zh-CN"/>
        </w:rPr>
        <w:t>南湾首府中秋邻里喜乐会活动（第二次）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before="120" w:beforeLines="50" w:after="120" w:afterLines="50"/>
        <w:jc w:val="center"/>
        <w:rPr>
          <w:rFonts w:hint="eastAsia" w:ascii="宋体" w:hAnsi="宋体" w:eastAsia="黑体" w:cs="Times New Roman"/>
          <w:bCs/>
          <w:color w:val="000000"/>
          <w:sz w:val="40"/>
          <w:szCs w:val="30"/>
        </w:rPr>
      </w:pPr>
      <w:r>
        <w:rPr>
          <w:rFonts w:hint="eastAsia" w:ascii="宋体" w:hAnsi="Times New Roman" w:eastAsia="宋体" w:cs="Times New Roman"/>
          <w:b/>
          <w:bCs/>
          <w:color w:val="000000"/>
          <w:sz w:val="40"/>
          <w:szCs w:val="30"/>
        </w:rPr>
        <w:t>投 标 报 价 书</w:t>
      </w:r>
    </w:p>
    <w:p>
      <w:pPr>
        <w:spacing w:line="360" w:lineRule="auto"/>
        <w:rPr>
          <w:rFonts w:hint="eastAsia" w:ascii="宋体" w:hAnsi="宋体" w:eastAsia="宋体" w:cs="Times New Roman"/>
          <w:b/>
          <w:bCs w:val="0"/>
          <w:color w:val="000000"/>
          <w:sz w:val="28"/>
          <w:szCs w:val="28"/>
        </w:rPr>
      </w:pPr>
    </w:p>
    <w:p>
      <w:pPr>
        <w:spacing w:line="360" w:lineRule="auto"/>
        <w:rPr>
          <w:rFonts w:hint="eastAsia" w:ascii="宋体" w:hAnsi="宋体" w:eastAsia="宋体" w:cs="Times New Roman"/>
          <w:b/>
          <w:bCs w:val="0"/>
          <w:color w:val="000000"/>
          <w:sz w:val="28"/>
          <w:szCs w:val="28"/>
        </w:rPr>
      </w:pPr>
      <w:permStart w:id="10" w:edGrp="everyone"/>
      <w:r>
        <w:rPr>
          <w:rFonts w:hint="eastAsia" w:ascii="宋体" w:hAnsi="宋体" w:eastAsia="宋体" w:cs="Times New Roman"/>
          <w:bCs/>
          <w:color w:val="auto"/>
          <w:sz w:val="24"/>
          <w:szCs w:val="24"/>
          <w:u w:val="single"/>
          <w:lang w:val="en-US" w:eastAsia="zh-CN"/>
        </w:rPr>
        <w:t xml:space="preserve">    招标人    </w:t>
      </w:r>
      <w:permEnd w:id="10"/>
      <w:r>
        <w:rPr>
          <w:rFonts w:hint="eastAsia" w:ascii="宋体" w:hAnsi="宋体" w:eastAsia="宋体" w:cs="Times New Roman"/>
          <w:bCs/>
          <w:color w:val="000000"/>
          <w:sz w:val="24"/>
          <w:szCs w:val="24"/>
          <w:u w:val="none"/>
        </w:rPr>
        <w:t xml:space="preserve"> </w:t>
      </w:r>
      <w:r>
        <w:rPr>
          <w:rFonts w:hint="eastAsia" w:ascii="宋体" w:hAnsi="宋体" w:eastAsia="宋体" w:cs="Times New Roman"/>
          <w:b/>
          <w:bCs w:val="0"/>
          <w:color w:val="000000"/>
          <w:sz w:val="28"/>
          <w:szCs w:val="28"/>
        </w:rPr>
        <w:t>：</w:t>
      </w:r>
    </w:p>
    <w:p>
      <w:pPr>
        <w:spacing w:line="360" w:lineRule="auto"/>
        <w:ind w:firstLine="480" w:firstLineChars="200"/>
        <w:rPr>
          <w:rFonts w:hint="eastAsia" w:ascii="宋体" w:hAnsi="宋体" w:eastAsia="宋体" w:cs="宋体"/>
          <w:bCs w:val="0"/>
          <w:color w:val="auto"/>
          <w:sz w:val="24"/>
          <w:szCs w:val="24"/>
        </w:rPr>
      </w:pPr>
      <w:r>
        <w:rPr>
          <w:rFonts w:hint="eastAsia" w:ascii="宋体" w:hAnsi="宋体" w:eastAsia="宋体" w:cs="宋体"/>
          <w:bCs w:val="0"/>
          <w:color w:val="000000"/>
          <w:sz w:val="24"/>
          <w:szCs w:val="24"/>
        </w:rPr>
        <w:t>根据已收到的</w:t>
      </w:r>
      <w:permStart w:id="11" w:edGrp="everyone"/>
      <w:r>
        <w:rPr>
          <w:rFonts w:hint="eastAsia" w:ascii="宋体" w:hAnsi="宋体" w:eastAsia="宋体" w:cs="宋体"/>
          <w:bCs/>
          <w:color w:val="auto"/>
          <w:sz w:val="24"/>
          <w:szCs w:val="24"/>
          <w:u w:val="single"/>
          <w:lang w:val="en-US" w:eastAsia="zh-CN"/>
        </w:rPr>
        <w:t xml:space="preserve">      项目名称        </w:t>
      </w:r>
      <w:permEnd w:id="11"/>
      <w:r>
        <w:rPr>
          <w:rFonts w:hint="eastAsia" w:ascii="宋体" w:hAnsi="宋体" w:eastAsia="宋体" w:cs="宋体"/>
          <w:bCs/>
          <w:color w:val="000000"/>
          <w:sz w:val="24"/>
          <w:szCs w:val="24"/>
          <w:u w:val="none"/>
        </w:rPr>
        <w:t xml:space="preserve"> </w:t>
      </w:r>
      <w:r>
        <w:rPr>
          <w:rFonts w:hint="eastAsia" w:ascii="宋体" w:hAnsi="宋体" w:eastAsia="宋体" w:cs="宋体"/>
          <w:bCs w:val="0"/>
          <w:color w:val="000000"/>
          <w:sz w:val="24"/>
          <w:szCs w:val="24"/>
        </w:rPr>
        <w:t>的招标文件（或任务书），根据有关法律、法规、规章规定，我单位经考察现场和研究上述招标文件（或任务书）和其他相关文件后，愿意接受招标文件（或任务书）的全部内容和条件，并承诺</w:t>
      </w:r>
      <w:r>
        <w:rPr>
          <w:rFonts w:hint="eastAsia" w:ascii="宋体" w:hAnsi="宋体" w:eastAsia="宋体" w:cs="宋体"/>
          <w:bCs w:val="0"/>
          <w:color w:val="auto"/>
          <w:sz w:val="24"/>
          <w:szCs w:val="24"/>
        </w:rPr>
        <w:t>按总价人民币大写：</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u w:val="single"/>
          <w:lang w:val="en-US" w:eastAsia="zh-CN"/>
        </w:rPr>
        <w:t xml:space="preserve">  </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rPr>
        <w:t>元（¥</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rPr>
        <w:t>元）承接</w:t>
      </w:r>
      <w:permStart w:id="12" w:edGrp="everyone"/>
      <w:r>
        <w:rPr>
          <w:rFonts w:hint="eastAsia" w:ascii="宋体" w:hAnsi="宋体" w:eastAsia="宋体" w:cs="宋体"/>
          <w:bCs/>
          <w:color w:val="auto"/>
          <w:sz w:val="24"/>
          <w:szCs w:val="24"/>
          <w:u w:val="single"/>
          <w:lang w:val="en-US" w:eastAsia="zh-CN"/>
        </w:rPr>
        <w:t xml:space="preserve">      项目名称    </w:t>
      </w:r>
      <w:permEnd w:id="12"/>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项目。</w:t>
      </w:r>
    </w:p>
    <w:p>
      <w:pPr>
        <w:spacing w:line="360" w:lineRule="auto"/>
        <w:ind w:firstLine="480" w:firstLineChars="200"/>
        <w:rPr>
          <w:rFonts w:hint="eastAsia" w:ascii="宋体" w:hAnsi="宋体" w:eastAsia="宋体" w:cs="Times New Roman"/>
          <w:bCs w:val="0"/>
          <w:color w:val="000000"/>
          <w:sz w:val="28"/>
          <w:szCs w:val="28"/>
        </w:rPr>
      </w:pPr>
      <w:r>
        <w:rPr>
          <w:rFonts w:hint="eastAsia" w:ascii="宋体" w:hAnsi="宋体" w:eastAsia="宋体" w:cs="宋体"/>
          <w:bCs w:val="0"/>
          <w:color w:val="auto"/>
          <w:sz w:val="24"/>
          <w:szCs w:val="24"/>
        </w:rPr>
        <w:t>注：所有报价均为含税价，增值税税率为</w:t>
      </w:r>
      <w:permStart w:id="13" w:edGrp="everyone"/>
      <w:r>
        <w:rPr>
          <w:rFonts w:hint="eastAsia" w:ascii="宋体" w:hAnsi="宋体" w:eastAsia="宋体" w:cs="宋体"/>
          <w:bCs/>
          <w:color w:val="auto"/>
          <w:sz w:val="24"/>
          <w:szCs w:val="24"/>
          <w:u w:val="none"/>
          <w:lang w:val="en-US" w:eastAsia="zh-CN"/>
        </w:rPr>
        <w:t xml:space="preserve">    % </w:t>
      </w:r>
      <w:permEnd w:id="13"/>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w:t>
      </w:r>
      <w:permStart w:id="14" w:edGrp="everyone"/>
      <w:r>
        <w:rPr>
          <w:rFonts w:hint="eastAsia" w:ascii="宋体" w:hAnsi="宋体" w:eastAsia="宋体" w:cs="宋体"/>
          <w:bCs/>
          <w:color w:val="auto"/>
          <w:sz w:val="24"/>
          <w:szCs w:val="24"/>
          <w:u w:val="none"/>
          <w:lang w:val="en-US" w:eastAsia="zh-CN"/>
        </w:rPr>
        <w:t xml:space="preserve"> </w:t>
      </w:r>
      <w:r>
        <w:rPr>
          <w:rFonts w:hint="eastAsia" w:ascii="宋体" w:hAnsi="宋体" w:eastAsia="宋体" w:cs="宋体"/>
          <w:bCs/>
          <w:color w:val="auto"/>
          <w:sz w:val="24"/>
          <w:szCs w:val="24"/>
        </w:rPr>
        <w:t>专用</w:t>
      </w:r>
      <w:r>
        <w:rPr>
          <w:rFonts w:hint="eastAsia" w:ascii="宋体" w:hAnsi="宋体" w:eastAsia="宋体" w:cs="宋体"/>
          <w:bCs/>
          <w:color w:val="auto"/>
          <w:sz w:val="24"/>
          <w:szCs w:val="24"/>
          <w:lang w:val="en-US" w:eastAsia="zh-CN"/>
        </w:rPr>
        <w:t>/普通</w:t>
      </w:r>
      <w:r>
        <w:rPr>
          <w:rFonts w:hint="eastAsia" w:ascii="宋体" w:hAnsi="宋体" w:eastAsia="宋体" w:cs="宋体"/>
          <w:bCs/>
          <w:color w:val="auto"/>
          <w:sz w:val="24"/>
          <w:szCs w:val="24"/>
          <w:u w:val="none"/>
          <w:lang w:val="en-US" w:eastAsia="zh-CN"/>
        </w:rPr>
        <w:t xml:space="preserve"> </w:t>
      </w:r>
      <w:permEnd w:id="14"/>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发票）</w:t>
      </w:r>
      <w:r>
        <w:rPr>
          <w:rFonts w:hint="eastAsia" w:ascii="宋体" w:hAnsi="宋体" w:eastAsia="宋体" w:cs="宋体"/>
          <w:bCs w:val="0"/>
          <w:color w:val="000000"/>
          <w:sz w:val="24"/>
          <w:szCs w:val="24"/>
        </w:rPr>
        <w:t>。</w:t>
      </w:r>
    </w:p>
    <w:p>
      <w:pPr>
        <w:spacing w:line="360" w:lineRule="auto"/>
        <w:ind w:firstLine="482" w:firstLineChars="200"/>
        <w:jc w:val="left"/>
        <w:rPr>
          <w:rFonts w:hint="eastAsia" w:ascii="宋体" w:hAnsi="宋体" w:eastAsia="宋体" w:cs="Times New Roman"/>
          <w:bCs/>
          <w:color w:val="000000"/>
          <w:sz w:val="24"/>
          <w:szCs w:val="24"/>
          <w:highlight w:val="none"/>
        </w:rPr>
      </w:pPr>
      <w:r>
        <w:rPr>
          <w:rFonts w:hint="eastAsia" w:ascii="宋体" w:hAnsi="宋体" w:eastAsia="宋体" w:cs="Times New Roman"/>
          <w:b/>
          <w:bCs w:val="0"/>
          <w:color w:val="000000"/>
          <w:sz w:val="24"/>
          <w:szCs w:val="24"/>
          <w:highlight w:val="none"/>
        </w:rPr>
        <w:t>具体报价</w:t>
      </w:r>
      <w:r>
        <w:rPr>
          <w:rFonts w:hint="eastAsia" w:ascii="宋体" w:hAnsi="宋体" w:eastAsia="宋体" w:cs="Times New Roman"/>
          <w:b/>
          <w:bCs w:val="0"/>
          <w:color w:val="000000"/>
          <w:sz w:val="24"/>
          <w:szCs w:val="24"/>
          <w:highlight w:val="none"/>
          <w:lang w:val="en-US" w:eastAsia="zh-CN"/>
        </w:rPr>
        <w:t>详见下表报价清单</w:t>
      </w:r>
      <w:r>
        <w:rPr>
          <w:rFonts w:hint="eastAsia" w:ascii="宋体" w:hAnsi="宋体" w:eastAsia="宋体" w:cs="Times New Roman"/>
          <w:b/>
          <w:bCs w:val="0"/>
          <w:color w:val="000000"/>
          <w:sz w:val="24"/>
          <w:szCs w:val="24"/>
          <w:highlight w:val="none"/>
        </w:rPr>
        <w:t>：</w:t>
      </w: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rPr>
          <w:rFonts w:hint="eastAsia" w:ascii="宋体" w:hAnsi="宋体" w:eastAsia="宋体" w:cs="Times New Roman"/>
          <w:bCs w:val="0"/>
          <w:color w:val="000000"/>
          <w:sz w:val="28"/>
          <w:szCs w:val="28"/>
        </w:rPr>
      </w:pPr>
    </w:p>
    <w:p>
      <w:pPr>
        <w:spacing w:line="360" w:lineRule="auto"/>
        <w:rPr>
          <w:rFonts w:hint="eastAsia" w:ascii="宋体" w:hAnsi="宋体" w:eastAsia="宋体" w:cs="Times New Roman"/>
          <w:bCs w:val="0"/>
          <w:color w:val="000000"/>
          <w:sz w:val="28"/>
          <w:szCs w:val="28"/>
        </w:rPr>
      </w:pPr>
      <w:r>
        <w:rPr>
          <w:rFonts w:hint="eastAsia" w:ascii="宋体" w:hAnsi="宋体" w:eastAsia="宋体" w:cs="Times New Roman"/>
          <w:bCs w:val="0"/>
          <w:color w:val="000000"/>
          <w:sz w:val="28"/>
          <w:szCs w:val="28"/>
        </w:rPr>
        <w:t>投标单位：（公章）</w:t>
      </w:r>
    </w:p>
    <w:p>
      <w:pPr>
        <w:spacing w:line="360" w:lineRule="auto"/>
        <w:ind w:firstLine="3080" w:firstLineChars="1100"/>
        <w:rPr>
          <w:rFonts w:hint="eastAsia" w:ascii="宋体" w:hAnsi="宋体" w:eastAsia="宋体" w:cs="Times New Roman"/>
          <w:bCs w:val="0"/>
          <w:color w:val="000000"/>
          <w:sz w:val="28"/>
          <w:szCs w:val="28"/>
        </w:rPr>
      </w:pPr>
    </w:p>
    <w:p>
      <w:pPr>
        <w:spacing w:line="360" w:lineRule="auto"/>
        <w:rPr>
          <w:rFonts w:hint="eastAsia" w:ascii="宋体" w:hAnsi="宋体" w:eastAsia="宋体" w:cs="Times New Roman"/>
          <w:bCs w:val="0"/>
          <w:color w:val="000000"/>
          <w:sz w:val="28"/>
          <w:szCs w:val="28"/>
        </w:rPr>
      </w:pPr>
      <w:r>
        <w:rPr>
          <w:rFonts w:hint="eastAsia" w:ascii="宋体" w:hAnsi="宋体" w:eastAsia="宋体" w:cs="Times New Roman"/>
          <w:bCs w:val="0"/>
          <w:color w:val="000000"/>
          <w:sz w:val="28"/>
          <w:szCs w:val="28"/>
        </w:rPr>
        <w:t>法定代表人或其授权代理人:（签字或盖章）</w:t>
      </w:r>
      <w:r>
        <w:rPr>
          <w:rFonts w:ascii="宋体" w:hAnsi="宋体" w:eastAsia="宋体" w:cs="Times New Roman"/>
          <w:bCs w:val="0"/>
          <w:color w:val="000000"/>
          <w:sz w:val="28"/>
          <w:szCs w:val="28"/>
        </w:rPr>
        <w:t xml:space="preserve"> </w:t>
      </w:r>
      <w:r>
        <w:rPr>
          <w:rFonts w:hint="eastAsia" w:ascii="宋体" w:hAnsi="宋体" w:eastAsia="宋体" w:cs="Times New Roman"/>
          <w:bCs w:val="0"/>
          <w:color w:val="000000"/>
          <w:sz w:val="28"/>
          <w:szCs w:val="28"/>
        </w:rPr>
        <w:t xml:space="preserve"> </w:t>
      </w:r>
    </w:p>
    <w:p>
      <w:pPr>
        <w:spacing w:line="360" w:lineRule="auto"/>
        <w:rPr>
          <w:rFonts w:hint="eastAsia" w:ascii="宋体" w:hAnsi="宋体" w:eastAsia="宋体" w:cs="Times New Roman"/>
          <w:bCs w:val="0"/>
          <w:color w:val="000000"/>
          <w:sz w:val="28"/>
          <w:szCs w:val="28"/>
        </w:rPr>
      </w:pPr>
    </w:p>
    <w:p>
      <w:pPr>
        <w:autoSpaceDE w:val="0"/>
        <w:autoSpaceDN w:val="0"/>
        <w:spacing w:before="240" w:beforeLines="100" w:line="360" w:lineRule="auto"/>
        <w:rPr>
          <w:rFonts w:hint="eastAsia" w:ascii="宋体" w:hAnsi="宋体" w:eastAsia="宋体" w:cs="Times New Roman"/>
          <w:bCs w:val="0"/>
          <w:color w:val="000000"/>
          <w:sz w:val="28"/>
          <w:szCs w:val="28"/>
        </w:rPr>
      </w:pPr>
      <w:r>
        <w:rPr>
          <w:rFonts w:hint="eastAsia" w:ascii="宋体" w:hAnsi="宋体" w:eastAsia="宋体" w:cs="Times New Roman"/>
          <w:bCs/>
          <w:color w:val="000000"/>
          <w:sz w:val="28"/>
          <w:szCs w:val="28"/>
        </w:rPr>
        <w:t xml:space="preserve">日 </w:t>
      </w:r>
      <w:r>
        <w:rPr>
          <w:rFonts w:ascii="宋体" w:hAnsi="宋体" w:eastAsia="宋体" w:cs="Times New Roman"/>
          <w:bCs/>
          <w:color w:val="000000"/>
          <w:sz w:val="28"/>
          <w:szCs w:val="28"/>
        </w:rPr>
        <w:t xml:space="preserve"> </w:t>
      </w:r>
      <w:r>
        <w:rPr>
          <w:rFonts w:hint="eastAsia" w:ascii="宋体" w:hAnsi="宋体" w:eastAsia="宋体" w:cs="Times New Roman"/>
          <w:bCs/>
          <w:color w:val="000000"/>
          <w:sz w:val="28"/>
          <w:szCs w:val="28"/>
        </w:rPr>
        <w:t xml:space="preserve"> 期：</w:t>
      </w: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spacing w:before="120" w:beforeLines="50" w:after="120" w:afterLines="50"/>
        <w:jc w:val="center"/>
        <w:rPr>
          <w:rFonts w:hint="default" w:ascii="宋体" w:hAnsi="宋体" w:eastAsia="宋体" w:cs="Times New Roman"/>
          <w:bCs/>
          <w:color w:val="000000"/>
          <w:sz w:val="40"/>
          <w:szCs w:val="30"/>
          <w:lang w:val="en-US" w:eastAsia="zh-CN"/>
        </w:rPr>
      </w:pPr>
      <w:r>
        <w:rPr>
          <w:rFonts w:hint="eastAsia" w:ascii="宋体" w:hAnsi="Times New Roman" w:eastAsia="宋体" w:cs="Times New Roman"/>
          <w:b/>
          <w:bCs/>
          <w:color w:val="000000"/>
          <w:sz w:val="40"/>
          <w:szCs w:val="30"/>
        </w:rPr>
        <w:t xml:space="preserve">报 价 </w:t>
      </w:r>
      <w:r>
        <w:rPr>
          <w:rFonts w:hint="eastAsia" w:ascii="宋体" w:hAnsi="Times New Roman" w:cs="Times New Roman"/>
          <w:b/>
          <w:bCs/>
          <w:color w:val="000000"/>
          <w:sz w:val="40"/>
          <w:szCs w:val="30"/>
          <w:lang w:val="en-US" w:eastAsia="zh-CN"/>
        </w:rPr>
        <w:t>清 单</w:t>
      </w:r>
    </w:p>
    <w:p>
      <w:pPr>
        <w:pStyle w:val="3"/>
        <w:rPr>
          <w:rFonts w:hint="default"/>
          <w:lang w:val="en-US" w:eastAsia="zh-CN"/>
        </w:rPr>
      </w:pPr>
    </w:p>
    <w:tbl>
      <w:tblPr>
        <w:tblStyle w:val="14"/>
        <w:tblW w:w="902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21"/>
        <w:gridCol w:w="787"/>
        <w:gridCol w:w="982"/>
        <w:gridCol w:w="2244"/>
        <w:gridCol w:w="600"/>
        <w:gridCol w:w="600"/>
        <w:gridCol w:w="654"/>
        <w:gridCol w:w="828"/>
        <w:gridCol w:w="1"/>
        <w:gridCol w:w="915"/>
        <w:gridCol w:w="1"/>
        <w:gridCol w:w="891"/>
        <w:gridCol w:w="1"/>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90"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982"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内容</w:t>
            </w:r>
          </w:p>
        </w:tc>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600"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形式</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1745"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892" w:type="dxa"/>
            <w:gridSpan w:val="2"/>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90" w:hRule="atLeast"/>
        </w:trPr>
        <w:tc>
          <w:tcPr>
            <w:tcW w:w="52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87"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82"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244"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00"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54"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9" w:type="dxa"/>
            <w:gridSpan w:val="2"/>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916" w:type="dxa"/>
            <w:gridSpan w:val="2"/>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892" w:type="dxa"/>
            <w:gridSpan w:val="2"/>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78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亲子DIY区</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手工制作</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1、月饼、花灯手工制作，提供全套材料，业主可亲手制作并带走成品</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2、包含裁剪纸、小配饰、手工月饼耗材等设备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3、制作时间：以现场要求为准</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服务</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场</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restart"/>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具体要求详见任务书，承包方式：综合单价包干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78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游戏区</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游戏</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1、投壶、套圈、猜谜、机器人表演、汉服等传统中秋游戏，通关集章可兑换精美小奖品                     2、制作时间：以现场要求为准</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服务</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787" w:type="dxa"/>
            <w:vMerge w:val="restart"/>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中秋现场演绎</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演出演绎</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露天电影、歌手演唱</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服务</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787" w:type="dxa"/>
            <w:vMerge w:val="continue"/>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cs="宋体"/>
                <w:i w:val="0"/>
                <w:color w:val="000000"/>
                <w:sz w:val="22"/>
                <w:szCs w:val="22"/>
                <w:u w:val="none"/>
                <w:lang w:val="en-US" w:eastAsia="zh-CN"/>
              </w:rPr>
            </w:pP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灯光</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4米灯柱*2，面光灯*8、休闲椅</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租赁</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787" w:type="dxa"/>
            <w:vMerge w:val="continue"/>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cs="宋体"/>
                <w:i w:val="0"/>
                <w:color w:val="000000"/>
                <w:sz w:val="22"/>
                <w:szCs w:val="22"/>
                <w:u w:val="none"/>
                <w:lang w:val="en-US" w:eastAsia="zh-CN"/>
              </w:rPr>
            </w:pP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音响</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半线阵音响，含唛</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租赁</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6</w:t>
            </w:r>
          </w:p>
        </w:tc>
        <w:tc>
          <w:tcPr>
            <w:tcW w:w="78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项目管理板块</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活动保险</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活动期间公众责任险</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买断</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项</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2"/>
          <w:wAfter w:w="2" w:type="dxa"/>
          <w:trHeight w:val="622"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6695" w:type="dxa"/>
            <w:gridSpan w:val="7"/>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026" w:type="dxa"/>
            <w:gridSpan w:val="14"/>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w:t>
            </w:r>
            <w:r>
              <w:rPr>
                <w:rFonts w:hint="eastAsia" w:ascii="宋体" w:hAnsi="宋体" w:cs="宋体"/>
                <w:color w:val="auto"/>
                <w:sz w:val="22"/>
                <w:szCs w:val="22"/>
                <w:lang w:val="en-US" w:eastAsia="zh-CN"/>
              </w:rPr>
              <w:t>加班费、</w:t>
            </w:r>
            <w:r>
              <w:rPr>
                <w:rFonts w:hint="eastAsia" w:ascii="宋体" w:hAnsi="宋体" w:eastAsia="宋体" w:cs="宋体"/>
                <w:color w:val="auto"/>
                <w:sz w:val="22"/>
                <w:szCs w:val="22"/>
              </w:rPr>
              <w:t>餐饮费、运费</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保险费</w:t>
            </w:r>
            <w:r>
              <w:rPr>
                <w:rFonts w:hint="eastAsia" w:ascii="宋体" w:hAnsi="宋体" w:eastAsia="宋体" w:cs="宋体"/>
                <w:color w:val="auto"/>
                <w:sz w:val="22"/>
                <w:szCs w:val="22"/>
              </w:rPr>
              <w:t>等完成本项目的所有费用。所有报价金额均保留2位小数</w:t>
            </w:r>
            <w:r>
              <w:rPr>
                <w:rFonts w:hint="eastAsia" w:ascii="宋体" w:hAnsi="宋体" w:cs="宋体"/>
                <w:color w:val="auto"/>
                <w:sz w:val="22"/>
                <w:szCs w:val="22"/>
                <w:lang w:eastAsia="zh-CN"/>
              </w:rPr>
              <w:t>；</w:t>
            </w:r>
          </w:p>
          <w:p>
            <w:pPr>
              <w:pStyle w:val="19"/>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52"/>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19"/>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2"/>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4.联系人：李虹 13824178644</w:t>
            </w:r>
            <w:r>
              <w:rPr>
                <w:rFonts w:hint="eastAsia" w:ascii="宋体" w:hAnsi="宋体" w:eastAsia="宋体" w:cs="宋体"/>
                <w:color w:val="auto"/>
                <w:sz w:val="22"/>
                <w:szCs w:val="22"/>
                <w:lang w:val="en-US" w:eastAsia="zh-CN"/>
              </w:rPr>
              <w:t>。</w:t>
            </w:r>
          </w:p>
        </w:tc>
      </w:tr>
    </w:tbl>
    <w:p>
      <w:pPr>
        <w:pStyle w:val="20"/>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1F7FAD"/>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30663CA"/>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86F136D"/>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nhideWhenUsed="0"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semiHidden/>
    <w:uiPriority w:val="0"/>
    <w:rPr>
      <w:rFonts w:ascii="Arial" w:hAnsi="Arial" w:eastAsia="宋体"/>
      <w:i/>
      <w:iCs/>
      <w:sz w:val="21"/>
      <w:szCs w:val="24"/>
    </w:rPr>
  </w:style>
  <w:style w:type="paragraph" w:styleId="7">
    <w:name w:val="Body Text"/>
    <w:basedOn w:val="1"/>
    <w:link w:val="23"/>
    <w:qFormat/>
    <w:uiPriority w:val="0"/>
    <w:pPr>
      <w:spacing w:line="480" w:lineRule="exact"/>
      <w:jc w:val="left"/>
    </w:pPr>
    <w:rPr>
      <w:rFonts w:ascii="宋体" w:hAnsi="宋体"/>
    </w:rPr>
  </w:style>
  <w:style w:type="paragraph" w:styleId="8">
    <w:name w:val="Body Text Indent"/>
    <w:basedOn w:val="1"/>
    <w:link w:val="26"/>
    <w:unhideWhenUsed/>
    <w:qFormat/>
    <w:uiPriority w:val="0"/>
    <w:pPr>
      <w:spacing w:after="120"/>
      <w:ind w:left="420" w:leftChars="200"/>
    </w:pPr>
  </w:style>
  <w:style w:type="paragraph" w:styleId="9">
    <w:name w:val="Plain Text"/>
    <w:basedOn w:val="1"/>
    <w:link w:val="31"/>
    <w:qFormat/>
    <w:uiPriority w:val="0"/>
    <w:pPr>
      <w:spacing w:line="360" w:lineRule="auto"/>
      <w:ind w:firstLine="510"/>
    </w:pPr>
    <w:rPr>
      <w:rFonts w:ascii="宋体" w:hAnsi="Courier New" w:eastAsia="仿宋_GB2312"/>
      <w:sz w:val="24"/>
      <w:szCs w:val="20"/>
    </w:rPr>
  </w:style>
  <w:style w:type="paragraph" w:styleId="10">
    <w:name w:val="Balloon Text"/>
    <w:basedOn w:val="1"/>
    <w:link w:val="28"/>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30"/>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引文目录1"/>
    <w:basedOn w:val="1"/>
    <w:next w:val="1"/>
    <w:qFormat/>
    <w:uiPriority w:val="0"/>
    <w:pPr>
      <w:ind w:left="200" w:leftChars="200"/>
    </w:pPr>
    <w:rPr>
      <w:rFonts w:ascii="Times New Roman" w:hAnsi="Times New Roman"/>
    </w:rPr>
  </w:style>
  <w:style w:type="paragraph" w:customStyle="1" w:styleId="20">
    <w:name w:val="正文1"/>
    <w:qFormat/>
    <w:uiPriority w:val="0"/>
    <w:pPr>
      <w:jc w:val="both"/>
    </w:pPr>
    <w:rPr>
      <w:rFonts w:ascii="Calibri" w:hAnsi="Calibri" w:eastAsia="宋体" w:cs="宋体"/>
      <w:kern w:val="2"/>
      <w:sz w:val="21"/>
      <w:szCs w:val="21"/>
      <w:lang w:val="en-US" w:eastAsia="zh-CN" w:bidi="ar-SA"/>
    </w:rPr>
  </w:style>
  <w:style w:type="character" w:customStyle="1" w:styleId="21">
    <w:name w:val="页眉 字符"/>
    <w:basedOn w:val="16"/>
    <w:link w:val="12"/>
    <w:qFormat/>
    <w:uiPriority w:val="0"/>
    <w:rPr>
      <w:kern w:val="2"/>
      <w:sz w:val="18"/>
      <w:szCs w:val="18"/>
    </w:rPr>
  </w:style>
  <w:style w:type="character" w:customStyle="1" w:styleId="22">
    <w:name w:val="页脚 字符"/>
    <w:basedOn w:val="16"/>
    <w:link w:val="11"/>
    <w:qFormat/>
    <w:uiPriority w:val="99"/>
    <w:rPr>
      <w:kern w:val="2"/>
      <w:sz w:val="18"/>
      <w:szCs w:val="18"/>
    </w:rPr>
  </w:style>
  <w:style w:type="character" w:customStyle="1" w:styleId="23">
    <w:name w:val="正文文本 字符"/>
    <w:basedOn w:val="16"/>
    <w:link w:val="7"/>
    <w:qFormat/>
    <w:uiPriority w:val="0"/>
    <w:rPr>
      <w:rFonts w:ascii="宋体" w:hAnsi="宋体"/>
      <w:kern w:val="2"/>
      <w:sz w:val="21"/>
      <w:szCs w:val="24"/>
    </w:rPr>
  </w:style>
  <w:style w:type="character" w:customStyle="1" w:styleId="24">
    <w:name w:val="普通 (Web) Char Char"/>
    <w:link w:val="25"/>
    <w:qFormat/>
    <w:uiPriority w:val="0"/>
    <w:rPr>
      <w:rFonts w:ascii="宋体" w:hAnsi="宋体"/>
      <w:sz w:val="24"/>
    </w:rPr>
  </w:style>
  <w:style w:type="paragraph" w:customStyle="1" w:styleId="25">
    <w:name w:val="普通 (Web)"/>
    <w:basedOn w:val="1"/>
    <w:link w:val="24"/>
    <w:qFormat/>
    <w:uiPriority w:val="0"/>
    <w:pPr>
      <w:widowControl/>
      <w:spacing w:before="100" w:beforeAutospacing="1" w:after="100" w:afterAutospacing="1"/>
      <w:jc w:val="left"/>
    </w:pPr>
    <w:rPr>
      <w:rFonts w:ascii="宋体" w:hAnsi="宋体"/>
      <w:kern w:val="0"/>
      <w:sz w:val="24"/>
      <w:szCs w:val="20"/>
    </w:rPr>
  </w:style>
  <w:style w:type="character" w:customStyle="1" w:styleId="26">
    <w:name w:val="正文文本缩进 字符"/>
    <w:basedOn w:val="16"/>
    <w:link w:val="8"/>
    <w:qFormat/>
    <w:uiPriority w:val="0"/>
    <w:rPr>
      <w:kern w:val="2"/>
      <w:sz w:val="21"/>
      <w:szCs w:val="24"/>
    </w:rPr>
  </w:style>
  <w:style w:type="paragraph" w:customStyle="1" w:styleId="27">
    <w:name w:val="Char"/>
    <w:basedOn w:val="1"/>
    <w:qFormat/>
    <w:uiPriority w:val="0"/>
    <w:rPr>
      <w:rFonts w:ascii="Tahoma" w:hAnsi="Tahoma"/>
      <w:sz w:val="24"/>
    </w:rPr>
  </w:style>
  <w:style w:type="character" w:customStyle="1" w:styleId="28">
    <w:name w:val="批注框文本 字符"/>
    <w:basedOn w:val="16"/>
    <w:link w:val="10"/>
    <w:qFormat/>
    <w:uiPriority w:val="0"/>
    <w:rPr>
      <w:kern w:val="2"/>
      <w:sz w:val="18"/>
      <w:szCs w:val="18"/>
    </w:rPr>
  </w:style>
  <w:style w:type="character" w:customStyle="1" w:styleId="29">
    <w:name w:val="标题 1 字符"/>
    <w:basedOn w:val="16"/>
    <w:link w:val="4"/>
    <w:qFormat/>
    <w:uiPriority w:val="0"/>
    <w:rPr>
      <w:b/>
      <w:bCs/>
      <w:kern w:val="44"/>
      <w:sz w:val="44"/>
      <w:szCs w:val="44"/>
    </w:rPr>
  </w:style>
  <w:style w:type="character" w:customStyle="1" w:styleId="30">
    <w:name w:val="正文文本首行缩进 字符"/>
    <w:basedOn w:val="23"/>
    <w:link w:val="13"/>
    <w:semiHidden/>
    <w:qFormat/>
    <w:uiPriority w:val="0"/>
    <w:rPr>
      <w:rFonts w:ascii="宋体" w:hAnsi="宋体"/>
      <w:kern w:val="2"/>
      <w:sz w:val="21"/>
      <w:szCs w:val="24"/>
    </w:rPr>
  </w:style>
  <w:style w:type="character" w:customStyle="1" w:styleId="31">
    <w:name w:val="纯文本 字符"/>
    <w:link w:val="9"/>
    <w:qFormat/>
    <w:uiPriority w:val="0"/>
    <w:rPr>
      <w:rFonts w:ascii="宋体" w:hAnsi="Courier New" w:eastAsia="仿宋_GB2312"/>
      <w:kern w:val="2"/>
      <w:sz w:val="24"/>
    </w:rPr>
  </w:style>
  <w:style w:type="character" w:customStyle="1" w:styleId="32">
    <w:name w:val="font31"/>
    <w:basedOn w:val="16"/>
    <w:qFormat/>
    <w:uiPriority w:val="0"/>
    <w:rPr>
      <w:rFonts w:hint="eastAsia" w:ascii="宋体" w:hAnsi="宋体" w:eastAsia="宋体" w:cs="宋体"/>
      <w:b/>
      <w:color w:val="000000"/>
      <w:sz w:val="14"/>
      <w:szCs w:val="14"/>
      <w:u w:val="none"/>
    </w:rPr>
  </w:style>
  <w:style w:type="character" w:customStyle="1" w:styleId="33">
    <w:name w:val="font01"/>
    <w:basedOn w:val="16"/>
    <w:qFormat/>
    <w:uiPriority w:val="0"/>
    <w:rPr>
      <w:rFonts w:hint="eastAsia" w:ascii="宋体" w:hAnsi="宋体" w:eastAsia="宋体" w:cs="宋体"/>
      <w:color w:val="000000"/>
      <w:sz w:val="14"/>
      <w:szCs w:val="14"/>
      <w:u w:val="none"/>
    </w:rPr>
  </w:style>
  <w:style w:type="paragraph" w:customStyle="1" w:styleId="3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5">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12</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2026-09-11T02:29:00Z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