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E16ED">
      <w:pPr>
        <w:jc w:val="center"/>
        <w:rPr>
          <w:rFonts w:hint="eastAsia"/>
          <w:b/>
          <w:bCs/>
          <w:sz w:val="32"/>
          <w:szCs w:val="32"/>
        </w:rPr>
      </w:pPr>
      <w:bookmarkStart w:id="1" w:name="_GoBack"/>
      <w:bookmarkEnd w:id="1"/>
      <w:r>
        <w:rPr>
          <w:rFonts w:hint="eastAsia"/>
          <w:b/>
          <w:bCs/>
          <w:sz w:val="32"/>
          <w:szCs w:val="32"/>
        </w:rPr>
        <w:t xml:space="preserve"> </w:t>
      </w:r>
    </w:p>
    <w:p w14:paraId="3A172821">
      <w:pPr>
        <w:spacing w:line="360" w:lineRule="auto"/>
        <w:jc w:val="center"/>
        <w:outlineLvl w:val="0"/>
        <w:rPr>
          <w:rFonts w:hint="eastAsia"/>
          <w:b/>
          <w:bCs/>
          <w:sz w:val="48"/>
          <w:szCs w:val="48"/>
        </w:rPr>
      </w:pPr>
    </w:p>
    <w:p w14:paraId="1FA53B64">
      <w:pPr>
        <w:spacing w:line="360" w:lineRule="auto"/>
        <w:jc w:val="center"/>
        <w:rPr>
          <w:rFonts w:ascii="黑体" w:hAnsi="黑体" w:eastAsia="黑体" w:cs="黑体"/>
          <w:b/>
          <w:sz w:val="48"/>
          <w:szCs w:val="48"/>
        </w:rPr>
      </w:pPr>
      <w:r>
        <w:rPr>
          <w:rFonts w:hint="eastAsia" w:ascii="黑体" w:hAnsi="黑体" w:eastAsia="黑体" w:cs="黑体"/>
          <w:b/>
          <w:sz w:val="48"/>
          <w:szCs w:val="48"/>
          <w:lang w:val="en-US" w:eastAsia="zh-CN"/>
        </w:rPr>
        <w:t>香洲区</w:t>
      </w:r>
      <w:r>
        <w:rPr>
          <w:rFonts w:hint="eastAsia" w:ascii="黑体" w:hAnsi="黑体" w:eastAsia="黑体" w:cs="黑体"/>
          <w:b/>
          <w:sz w:val="48"/>
          <w:szCs w:val="48"/>
          <w:lang w:val="en-US" w:eastAsia="zh-CN"/>
        </w:rPr>
        <w:t>广生村及周边片区城中村改造</w:t>
      </w:r>
      <w:r>
        <w:rPr>
          <w:rFonts w:ascii="黑体" w:hAnsi="黑体" w:eastAsia="黑体" w:cs="黑体"/>
          <w:b/>
          <w:sz w:val="48"/>
          <w:szCs w:val="48"/>
        </w:rPr>
        <w:t>项目</w:t>
      </w:r>
    </w:p>
    <w:p w14:paraId="7561A52B">
      <w:pPr>
        <w:spacing w:line="360" w:lineRule="auto"/>
        <w:jc w:val="center"/>
        <w:rPr>
          <w:rFonts w:ascii="黑体" w:hAnsi="黑体" w:eastAsia="黑体" w:cs="黑体"/>
          <w:b/>
          <w:sz w:val="48"/>
          <w:szCs w:val="48"/>
        </w:rPr>
      </w:pPr>
      <w:r>
        <w:rPr>
          <w:rFonts w:hint="eastAsia" w:ascii="黑体" w:hAnsi="黑体" w:eastAsia="黑体" w:cs="黑体"/>
          <w:b/>
          <w:sz w:val="48"/>
          <w:szCs w:val="48"/>
          <w:lang w:val="en-US" w:eastAsia="zh-CN"/>
        </w:rPr>
        <w:t>广生村南屏果场首期开发地块项目施工临时用电供配电设备价值评估</w:t>
      </w:r>
      <w:r>
        <w:rPr>
          <w:rFonts w:hint="eastAsia" w:ascii="黑体" w:hAnsi="黑体" w:eastAsia="黑体" w:cs="黑体"/>
          <w:b/>
          <w:sz w:val="48"/>
          <w:szCs w:val="48"/>
          <w:lang w:val="zh-CN"/>
        </w:rPr>
        <w:t>服务采购</w:t>
      </w:r>
      <w:r>
        <w:rPr>
          <w:rFonts w:ascii="黑体" w:hAnsi="黑体" w:eastAsia="黑体" w:cs="黑体"/>
          <w:b/>
          <w:sz w:val="48"/>
          <w:szCs w:val="48"/>
        </w:rPr>
        <w:t>任务书</w:t>
      </w:r>
    </w:p>
    <w:p w14:paraId="79CA7DAA">
      <w:pPr>
        <w:spacing w:line="360" w:lineRule="auto"/>
        <w:jc w:val="center"/>
        <w:rPr>
          <w:rFonts w:ascii="黑体" w:hAnsi="黑体" w:eastAsia="黑体" w:cs="黑体"/>
          <w:b/>
          <w:sz w:val="48"/>
          <w:szCs w:val="48"/>
        </w:rPr>
      </w:pPr>
    </w:p>
    <w:p w14:paraId="0E04208A">
      <w:pPr>
        <w:widowControl w:val="0"/>
        <w:adjustRightInd w:val="0"/>
        <w:snapToGrid w:val="0"/>
        <w:spacing w:after="30" w:afterLines="30" w:line="360" w:lineRule="auto"/>
        <w:ind w:firstLine="2560" w:firstLineChars="800"/>
        <w:jc w:val="both"/>
        <w:rPr>
          <w:rFonts w:hint="eastAsia" w:ascii="微软雅黑" w:hAnsi="微软雅黑" w:eastAsia="微软雅黑" w:cs="Times New Roman"/>
          <w:color w:val="auto"/>
          <w:kern w:val="2"/>
          <w:sz w:val="32"/>
          <w:szCs w:val="32"/>
          <w:lang w:val="en-US" w:eastAsia="zh-CN" w:bidi="ar-SA"/>
        </w:rPr>
      </w:pPr>
    </w:p>
    <w:p w14:paraId="7E4E5C23">
      <w:pPr>
        <w:widowControl w:val="0"/>
        <w:adjustRightInd w:val="0"/>
        <w:snapToGrid w:val="0"/>
        <w:spacing w:after="30" w:afterLines="30" w:line="360" w:lineRule="auto"/>
        <w:ind w:firstLine="2560" w:firstLineChars="800"/>
        <w:jc w:val="both"/>
        <w:rPr>
          <w:rFonts w:hint="eastAsia" w:ascii="微软雅黑" w:hAnsi="微软雅黑" w:eastAsia="微软雅黑" w:cs="Times New Roman"/>
          <w:color w:val="auto"/>
          <w:kern w:val="2"/>
          <w:sz w:val="32"/>
          <w:szCs w:val="32"/>
          <w:lang w:val="en-US" w:eastAsia="zh-CN" w:bidi="ar-SA"/>
        </w:rPr>
      </w:pPr>
    </w:p>
    <w:p w14:paraId="186C4857">
      <w:pPr>
        <w:widowControl w:val="0"/>
        <w:adjustRightInd w:val="0"/>
        <w:snapToGrid w:val="0"/>
        <w:spacing w:after="30" w:afterLines="30" w:line="360" w:lineRule="auto"/>
        <w:ind w:left="0" w:leftChars="0" w:firstLine="1388" w:firstLineChars="434"/>
        <w:jc w:val="left"/>
        <w:rPr>
          <w:rFonts w:hint="default" w:ascii="微软雅黑" w:hAnsi="微软雅黑" w:eastAsia="微软雅黑" w:cs="Times New Roman"/>
          <w:color w:val="auto"/>
          <w:kern w:val="2"/>
          <w:sz w:val="32"/>
          <w:szCs w:val="32"/>
          <w:u w:val="single"/>
          <w:lang w:val="en-US" w:eastAsia="zh-CN" w:bidi="ar-SA"/>
        </w:rPr>
      </w:pPr>
      <w:r>
        <w:rPr>
          <w:rFonts w:hint="eastAsia" w:ascii="微软雅黑" w:hAnsi="微软雅黑" w:eastAsia="微软雅黑" w:cs="Times New Roman"/>
          <w:color w:val="auto"/>
          <w:kern w:val="2"/>
          <w:sz w:val="32"/>
          <w:szCs w:val="32"/>
          <w:lang w:val="en-US" w:eastAsia="zh-CN" w:bidi="ar-SA"/>
        </w:rPr>
        <w:t>编制:</w:t>
      </w:r>
      <w:r>
        <w:rPr>
          <w:rFonts w:hint="eastAsia" w:ascii="微软雅黑" w:hAnsi="微软雅黑" w:eastAsia="微软雅黑" w:cs="Times New Roman"/>
          <w:color w:val="auto"/>
          <w:kern w:val="2"/>
          <w:sz w:val="32"/>
          <w:szCs w:val="32"/>
          <w:u w:val="single"/>
          <w:lang w:val="en-US" w:eastAsia="zh-CN" w:bidi="ar-SA"/>
        </w:rPr>
        <w:t xml:space="preserve">                            </w:t>
      </w:r>
    </w:p>
    <w:p w14:paraId="4E697487">
      <w:pPr>
        <w:widowControl w:val="0"/>
        <w:adjustRightInd w:val="0"/>
        <w:snapToGrid w:val="0"/>
        <w:spacing w:after="30" w:afterLines="30" w:line="360" w:lineRule="auto"/>
        <w:ind w:left="0" w:leftChars="0" w:firstLine="1388" w:firstLineChars="434"/>
        <w:jc w:val="both"/>
        <w:rPr>
          <w:rFonts w:hint="eastAsia" w:ascii="微软雅黑" w:hAnsi="微软雅黑" w:eastAsia="微软雅黑" w:cs="Times New Roman"/>
          <w:color w:val="auto"/>
          <w:kern w:val="2"/>
          <w:sz w:val="32"/>
          <w:szCs w:val="32"/>
          <w:lang w:val="en-US" w:eastAsia="zh-CN" w:bidi="ar-SA"/>
        </w:rPr>
      </w:pPr>
    </w:p>
    <w:p w14:paraId="064215D8">
      <w:pPr>
        <w:widowControl w:val="0"/>
        <w:adjustRightInd w:val="0"/>
        <w:snapToGrid w:val="0"/>
        <w:spacing w:after="30" w:afterLines="30" w:line="360" w:lineRule="auto"/>
        <w:ind w:left="0" w:leftChars="0" w:firstLine="1388" w:firstLineChars="434"/>
        <w:jc w:val="both"/>
        <w:rPr>
          <w:rFonts w:hint="default" w:ascii="微软雅黑" w:hAnsi="微软雅黑" w:eastAsia="微软雅黑" w:cs="Times New Roman"/>
          <w:color w:val="auto"/>
          <w:kern w:val="2"/>
          <w:sz w:val="32"/>
          <w:szCs w:val="32"/>
          <w:u w:val="single"/>
          <w:lang w:val="en-US" w:eastAsia="zh-CN" w:bidi="ar-SA"/>
        </w:rPr>
      </w:pPr>
      <w:r>
        <w:rPr>
          <w:rFonts w:hint="eastAsia" w:ascii="微软雅黑" w:hAnsi="微软雅黑" w:eastAsia="微软雅黑" w:cs="Times New Roman"/>
          <w:color w:val="auto"/>
          <w:kern w:val="2"/>
          <w:sz w:val="32"/>
          <w:szCs w:val="32"/>
          <w:lang w:val="en-US" w:eastAsia="zh-CN" w:bidi="ar-SA"/>
        </w:rPr>
        <w:t>审核:</w:t>
      </w:r>
      <w:r>
        <w:rPr>
          <w:rFonts w:hint="eastAsia" w:ascii="微软雅黑" w:hAnsi="微软雅黑" w:eastAsia="微软雅黑" w:cs="Times New Roman"/>
          <w:color w:val="auto"/>
          <w:kern w:val="2"/>
          <w:sz w:val="32"/>
          <w:szCs w:val="32"/>
          <w:u w:val="single"/>
          <w:lang w:val="en-US" w:eastAsia="zh-CN" w:bidi="ar-SA"/>
        </w:rPr>
        <w:t xml:space="preserve">                            </w:t>
      </w:r>
    </w:p>
    <w:p w14:paraId="6BD7963F">
      <w:pPr>
        <w:widowControl w:val="0"/>
        <w:adjustRightInd w:val="0"/>
        <w:snapToGrid w:val="0"/>
        <w:spacing w:after="30" w:afterLines="30" w:line="360" w:lineRule="auto"/>
        <w:ind w:left="0" w:leftChars="0" w:firstLine="1388" w:firstLineChars="434"/>
        <w:jc w:val="both"/>
        <w:rPr>
          <w:rFonts w:hint="eastAsia" w:ascii="微软雅黑" w:hAnsi="微软雅黑" w:eastAsia="微软雅黑" w:cs="Times New Roman"/>
          <w:color w:val="auto"/>
          <w:kern w:val="2"/>
          <w:sz w:val="32"/>
          <w:szCs w:val="32"/>
          <w:lang w:val="en-US" w:eastAsia="zh-CN" w:bidi="ar-SA"/>
        </w:rPr>
      </w:pPr>
    </w:p>
    <w:p w14:paraId="62890985">
      <w:pPr>
        <w:widowControl w:val="0"/>
        <w:adjustRightInd w:val="0"/>
        <w:snapToGrid w:val="0"/>
        <w:spacing w:after="30" w:afterLines="30" w:line="360" w:lineRule="auto"/>
        <w:ind w:left="0" w:leftChars="0" w:firstLine="1388" w:firstLineChars="434"/>
        <w:jc w:val="both"/>
        <w:rPr>
          <w:rFonts w:hint="default" w:ascii="微软雅黑" w:hAnsi="微软雅黑" w:eastAsia="微软雅黑" w:cs="Times New Roman"/>
          <w:color w:val="auto"/>
          <w:kern w:val="2"/>
          <w:sz w:val="32"/>
          <w:szCs w:val="32"/>
          <w:lang w:val="en-US" w:eastAsia="zh-CN" w:bidi="ar-SA"/>
        </w:rPr>
      </w:pPr>
      <w:r>
        <w:rPr>
          <w:rFonts w:hint="eastAsia" w:ascii="微软雅黑" w:hAnsi="微软雅黑" w:eastAsia="微软雅黑" w:cs="Times New Roman"/>
          <w:color w:val="auto"/>
          <w:kern w:val="2"/>
          <w:sz w:val="32"/>
          <w:szCs w:val="32"/>
          <w:lang w:val="en-US" w:eastAsia="zh-CN" w:bidi="ar-SA"/>
        </w:rPr>
        <w:t>审核:</w:t>
      </w:r>
      <w:r>
        <w:rPr>
          <w:rFonts w:hint="eastAsia" w:ascii="微软雅黑" w:hAnsi="微软雅黑" w:eastAsia="微软雅黑" w:cs="Times New Roman"/>
          <w:color w:val="auto"/>
          <w:kern w:val="2"/>
          <w:sz w:val="32"/>
          <w:szCs w:val="32"/>
          <w:u w:val="single"/>
          <w:lang w:val="en-US" w:eastAsia="zh-CN" w:bidi="ar-SA"/>
        </w:rPr>
        <w:t xml:space="preserve">                            </w:t>
      </w:r>
    </w:p>
    <w:p w14:paraId="0DFF0025">
      <w:pPr>
        <w:spacing w:line="360" w:lineRule="auto"/>
        <w:jc w:val="center"/>
        <w:rPr>
          <w:rFonts w:hint="eastAsia" w:ascii="黑体" w:hAnsi="黑体" w:eastAsia="黑体" w:cs="黑体"/>
          <w:b/>
          <w:sz w:val="48"/>
          <w:szCs w:val="48"/>
        </w:rPr>
      </w:pPr>
    </w:p>
    <w:p w14:paraId="2AD82A68">
      <w:pPr>
        <w:spacing w:line="360" w:lineRule="auto"/>
        <w:jc w:val="both"/>
        <w:rPr>
          <w:sz w:val="28"/>
          <w:szCs w:val="28"/>
        </w:rPr>
      </w:pPr>
    </w:p>
    <w:p w14:paraId="66EBB9D2">
      <w:pPr>
        <w:spacing w:line="360" w:lineRule="auto"/>
        <w:jc w:val="center"/>
        <w:rPr>
          <w:rFonts w:hint="eastAsia"/>
          <w:sz w:val="28"/>
          <w:szCs w:val="28"/>
        </w:rPr>
      </w:pPr>
    </w:p>
    <w:p w14:paraId="7BFBBF0F">
      <w:pPr>
        <w:spacing w:line="360" w:lineRule="auto"/>
        <w:jc w:val="center"/>
        <w:outlineLvl w:val="0"/>
        <w:rPr>
          <w:b/>
          <w:bCs/>
          <w:sz w:val="30"/>
          <w:szCs w:val="30"/>
        </w:rPr>
      </w:pPr>
      <w:r>
        <w:rPr>
          <w:rFonts w:hint="eastAsia"/>
          <w:b/>
          <w:bCs/>
          <w:sz w:val="30"/>
          <w:szCs w:val="30"/>
        </w:rPr>
        <w:t>编制单位：珠海正方世康投资有限公司</w:t>
      </w:r>
    </w:p>
    <w:p w14:paraId="672BB4B2">
      <w:pPr>
        <w:spacing w:line="360" w:lineRule="auto"/>
        <w:ind w:left="0" w:leftChars="0" w:firstLine="2108" w:firstLineChars="700"/>
        <w:jc w:val="both"/>
        <w:outlineLvl w:val="0"/>
        <w:rPr>
          <w:b/>
          <w:bCs/>
          <w:sz w:val="30"/>
          <w:szCs w:val="30"/>
        </w:rPr>
      </w:pPr>
      <w:r>
        <w:rPr>
          <w:rFonts w:hint="eastAsia"/>
          <w:b/>
          <w:bCs/>
          <w:sz w:val="30"/>
          <w:szCs w:val="30"/>
        </w:rPr>
        <w:t>编制日期：202</w:t>
      </w:r>
      <w:r>
        <w:rPr>
          <w:rFonts w:hint="eastAsia"/>
          <w:b/>
          <w:bCs/>
          <w:sz w:val="30"/>
          <w:szCs w:val="30"/>
          <w:lang w:val="en-US" w:eastAsia="zh-CN"/>
        </w:rPr>
        <w:t>6</w:t>
      </w:r>
      <w:r>
        <w:rPr>
          <w:rFonts w:hint="eastAsia"/>
          <w:b/>
          <w:bCs/>
          <w:sz w:val="30"/>
          <w:szCs w:val="30"/>
        </w:rPr>
        <w:t>年</w:t>
      </w:r>
      <w:r>
        <w:rPr>
          <w:rFonts w:hint="eastAsia"/>
          <w:b/>
          <w:bCs/>
          <w:sz w:val="30"/>
          <w:szCs w:val="30"/>
          <w:lang w:val="en-US" w:eastAsia="zh-CN"/>
        </w:rPr>
        <w:t>9</w:t>
      </w:r>
      <w:r>
        <w:rPr>
          <w:rFonts w:hint="eastAsia"/>
          <w:b/>
          <w:bCs/>
          <w:sz w:val="30"/>
          <w:szCs w:val="30"/>
        </w:rPr>
        <w:t>月</w:t>
      </w:r>
    </w:p>
    <w:p w14:paraId="56FD8700">
      <w:pPr>
        <w:spacing w:line="360" w:lineRule="auto"/>
        <w:jc w:val="left"/>
        <w:rPr>
          <w:rFonts w:hint="eastAsia"/>
          <w:sz w:val="28"/>
          <w:szCs w:val="28"/>
        </w:rPr>
        <w:sectPr>
          <w:pgSz w:w="11906" w:h="16838"/>
          <w:pgMar w:top="1440" w:right="924" w:bottom="1440" w:left="1797" w:header="851" w:footer="992" w:gutter="0"/>
          <w:cols w:space="720" w:num="1"/>
          <w:docGrid w:type="lines" w:linePitch="312" w:charSpace="0"/>
        </w:sectPr>
      </w:pPr>
    </w:p>
    <w:p w14:paraId="73DA43A4">
      <w:pPr>
        <w:spacing w:line="480" w:lineRule="auto"/>
        <w:ind w:firstLine="482" w:firstLineChars="200"/>
        <w:rPr>
          <w:rFonts w:hint="eastAsia" w:ascii="宋体" w:hAnsi="宋体"/>
          <w:b/>
          <w:bCs/>
          <w:sz w:val="24"/>
          <w:szCs w:val="24"/>
        </w:rPr>
      </w:pPr>
      <w:bookmarkStart w:id="0" w:name="_Toc21462"/>
      <w:bookmarkEnd w:id="0"/>
      <w:r>
        <w:rPr>
          <w:rFonts w:hint="eastAsia" w:ascii="宋体" w:hAnsi="宋体"/>
          <w:b/>
          <w:bCs/>
          <w:sz w:val="24"/>
          <w:szCs w:val="24"/>
        </w:rPr>
        <w:t>1、项目概况</w:t>
      </w:r>
    </w:p>
    <w:p w14:paraId="4FD07BBB">
      <w:pPr>
        <w:spacing w:line="360" w:lineRule="auto"/>
        <w:ind w:firstLine="480" w:firstLineChars="200"/>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珠海正方世康投资有限公司（下称“世康公司”）为香洲区广生村及周边片区城中村改造项目（下称“广生项目”）</w:t>
      </w:r>
      <w:r>
        <w:rPr>
          <w:rFonts w:hint="eastAsia" w:ascii="宋体" w:hAnsi="宋体" w:eastAsia="宋体" w:cs="宋体"/>
          <w:kern w:val="0"/>
          <w:sz w:val="24"/>
          <w:szCs w:val="24"/>
          <w:highlight w:val="none"/>
          <w:lang w:val="en-US" w:eastAsia="zh-CN" w:bidi="ar-SA"/>
        </w:rPr>
        <w:t>项目改造主体，为项目提供统筹管理服务，包括但不限于</w:t>
      </w:r>
      <w:r>
        <w:rPr>
          <w:rFonts w:hint="eastAsia" w:ascii="宋体" w:hAnsi="宋体" w:eastAsia="宋体" w:cs="宋体"/>
          <w:kern w:val="0"/>
          <w:sz w:val="24"/>
          <w:szCs w:val="24"/>
          <w:highlight w:val="none"/>
          <w:lang w:val="en-US" w:eastAsia="zh-CN" w:bidi="ar-SA"/>
        </w:rPr>
        <w:t>统筹管理第三方专业单位开展签约谈判、城市设计及规划研究、土地整备、回迁房开发建设、土地储备入库及挂牌等相关工作。</w:t>
      </w:r>
    </w:p>
    <w:p w14:paraId="29374B99">
      <w:pPr>
        <w:spacing w:line="360" w:lineRule="auto"/>
        <w:ind w:firstLine="482" w:firstLineChars="200"/>
        <w:rPr>
          <w:rFonts w:ascii="仿宋" w:hAnsi="仿宋" w:eastAsia="仿宋"/>
          <w:b/>
          <w:bCs/>
          <w:sz w:val="24"/>
          <w:szCs w:val="24"/>
        </w:rPr>
      </w:pPr>
      <w:r>
        <w:rPr>
          <w:rFonts w:hint="eastAsia" w:ascii="仿宋" w:hAnsi="仿宋" w:eastAsia="仿宋"/>
          <w:b/>
          <w:bCs/>
          <w:sz w:val="24"/>
          <w:szCs w:val="24"/>
        </w:rPr>
        <w:t>2、</w:t>
      </w:r>
      <w:r>
        <w:rPr>
          <w:rFonts w:hint="eastAsia" w:ascii="宋体" w:hAnsi="宋体"/>
          <w:b/>
          <w:bCs/>
          <w:sz w:val="24"/>
          <w:szCs w:val="24"/>
        </w:rPr>
        <w:t>评估目的及依据：</w:t>
      </w:r>
    </w:p>
    <w:p w14:paraId="518666D1">
      <w:pPr>
        <w:pStyle w:val="21"/>
        <w:spacing w:before="0" w:beforeAutospacing="0" w:after="0" w:afterAutospacing="0" w:line="480" w:lineRule="auto"/>
        <w:ind w:firstLine="480" w:firstLineChars="200"/>
        <w:rPr>
          <w:szCs w:val="24"/>
          <w:highlight w:val="none"/>
        </w:rPr>
      </w:pPr>
      <w:r>
        <w:rPr>
          <w:rFonts w:hint="eastAsia"/>
          <w:szCs w:val="24"/>
          <w:highlight w:val="none"/>
        </w:rPr>
        <w:t>（1）评估目的</w:t>
      </w:r>
    </w:p>
    <w:p w14:paraId="280CE617">
      <w:pPr>
        <w:pStyle w:val="21"/>
        <w:spacing w:before="0" w:beforeAutospacing="0" w:after="0" w:afterAutospacing="0" w:line="480" w:lineRule="auto"/>
        <w:ind w:firstLine="480" w:firstLineChars="200"/>
        <w:rPr>
          <w:rFonts w:hint="eastAsia"/>
          <w:szCs w:val="24"/>
          <w:highlight w:val="none"/>
          <w:lang w:val="en-US" w:eastAsia="zh-CN"/>
        </w:rPr>
      </w:pPr>
      <w:r>
        <w:rPr>
          <w:rFonts w:hint="eastAsia"/>
          <w:szCs w:val="24"/>
          <w:highlight w:val="none"/>
          <w:lang w:val="en-US" w:eastAsia="zh-CN"/>
        </w:rPr>
        <w:t>根据广生项目实际需要，我公司拟配合南屏镇对广生村南屏果场首期开发地块项目施工临时用电供配电设备进行出让</w:t>
      </w:r>
      <w:r>
        <w:rPr>
          <w:rFonts w:hint="eastAsia" w:eastAsia="宋体"/>
          <w:szCs w:val="24"/>
          <w:highlight w:val="none"/>
          <w:lang w:val="en-US" w:eastAsia="zh-CN"/>
        </w:rPr>
        <w:t>，</w:t>
      </w:r>
      <w:r>
        <w:rPr>
          <w:rFonts w:hint="eastAsia" w:eastAsia="宋体"/>
          <w:b/>
          <w:bCs/>
          <w:szCs w:val="24"/>
          <w:highlight w:val="none"/>
          <w:lang w:val="en-US" w:eastAsia="zh-CN"/>
        </w:rPr>
        <w:t>涉及箱变设备、电缆等</w:t>
      </w:r>
      <w:r>
        <w:rPr>
          <w:rFonts w:hint="eastAsia" w:eastAsia="宋体"/>
          <w:szCs w:val="24"/>
          <w:highlight w:val="none"/>
          <w:lang w:val="en-US" w:eastAsia="zh-CN"/>
        </w:rPr>
        <w:t>，计</w:t>
      </w:r>
      <w:r>
        <w:rPr>
          <w:rFonts w:hint="eastAsia"/>
          <w:szCs w:val="24"/>
          <w:highlight w:val="none"/>
          <w:lang w:val="en-US" w:eastAsia="zh-CN"/>
        </w:rPr>
        <w:t>划开展相关评估工作。</w:t>
      </w:r>
    </w:p>
    <w:p w14:paraId="2DC94B5E">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default"/>
          <w:szCs w:val="24"/>
          <w:highlight w:val="none"/>
          <w:lang w:val="en-US" w:eastAsia="zh-CN"/>
        </w:rPr>
      </w:pPr>
      <w:r>
        <w:rPr>
          <w:rFonts w:hint="eastAsia"/>
          <w:szCs w:val="24"/>
          <w:highlight w:val="none"/>
          <w:lang w:val="en-US" w:eastAsia="zh-CN"/>
        </w:rPr>
        <w:t>设施坐落：香洲区广生村及周边片区城中村改造项</w:t>
      </w:r>
      <w:r>
        <w:rPr>
          <w:rFonts w:hint="eastAsia" w:ascii="宋体" w:hAnsi="宋体" w:eastAsia="宋体" w:cs="宋体"/>
          <w:szCs w:val="24"/>
          <w:highlight w:val="none"/>
          <w:lang w:val="en-US" w:eastAsia="zh-CN"/>
        </w:rPr>
        <w:t>目</w:t>
      </w:r>
      <w:r>
        <w:rPr>
          <w:rFonts w:hint="eastAsia" w:ascii="宋体" w:hAnsi="宋体" w:eastAsia="宋体" w:cs="宋体"/>
          <w:b w:val="0"/>
          <w:sz w:val="24"/>
          <w:szCs w:val="24"/>
          <w:highlight w:val="none"/>
          <w:lang w:val="en-US" w:eastAsia="zh-CN"/>
        </w:rPr>
        <w:t>南屏果场首期开发地块</w:t>
      </w:r>
      <w:r>
        <w:rPr>
          <w:rFonts w:hint="eastAsia" w:ascii="宋体" w:hAnsi="宋体" w:eastAsia="宋体" w:cs="宋体"/>
          <w:szCs w:val="24"/>
          <w:highlight w:val="none"/>
          <w:lang w:val="en-US" w:eastAsia="zh-CN"/>
        </w:rPr>
        <w:t>评估</w:t>
      </w:r>
      <w:r>
        <w:rPr>
          <w:rFonts w:hint="eastAsia"/>
          <w:szCs w:val="24"/>
          <w:highlight w:val="none"/>
          <w:lang w:val="en-US" w:eastAsia="zh-CN"/>
        </w:rPr>
        <w:t>内容：南屏果场首期开发地块范围内</w:t>
      </w:r>
      <w:r>
        <w:rPr>
          <w:rFonts w:hint="eastAsia" w:eastAsia="宋体"/>
          <w:b/>
          <w:bCs/>
          <w:szCs w:val="24"/>
          <w:highlight w:val="none"/>
          <w:lang w:val="en-US" w:eastAsia="zh-CN"/>
        </w:rPr>
        <w:t>箱变设备、基础、电缆、安装调试等</w:t>
      </w:r>
      <w:r>
        <w:rPr>
          <w:rFonts w:hint="eastAsia"/>
          <w:szCs w:val="24"/>
          <w:highlight w:val="none"/>
          <w:lang w:val="en-US" w:eastAsia="zh-CN"/>
        </w:rPr>
        <w:t>，具体为：</w:t>
      </w:r>
    </w:p>
    <w:p w14:paraId="73F84995">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szCs w:val="24"/>
          <w:highlight w:val="none"/>
          <w:lang w:val="en-US" w:eastAsia="zh-CN"/>
        </w:rPr>
      </w:pPr>
      <w:r>
        <w:rPr>
          <w:rFonts w:hint="eastAsia"/>
          <w:szCs w:val="24"/>
          <w:highlight w:val="none"/>
          <w:lang w:val="en-US" w:eastAsia="zh-CN"/>
        </w:rPr>
        <w:t>箱变共一处，具体参数如下：</w:t>
      </w:r>
    </w:p>
    <w:p w14:paraId="4F9C9341">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szCs w:val="24"/>
          <w:highlight w:val="none"/>
          <w:lang w:val="en-US" w:eastAsia="zh-CN"/>
        </w:rPr>
      </w:pPr>
      <w:r>
        <w:rPr>
          <w:rFonts w:hint="eastAsia"/>
          <w:szCs w:val="24"/>
          <w:highlight w:val="none"/>
          <w:lang w:val="en-US" w:eastAsia="zh-CN"/>
        </w:rPr>
        <w:t>产品型号：YBM-12/0.4-800    额定容量：800 千伏安（kVA）</w:t>
      </w:r>
    </w:p>
    <w:p w14:paraId="5F693EE8">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szCs w:val="24"/>
          <w:highlight w:val="none"/>
          <w:lang w:val="en-US" w:eastAsia="zh-CN"/>
        </w:rPr>
      </w:pPr>
      <w:r>
        <w:rPr>
          <w:rFonts w:hint="eastAsia"/>
          <w:szCs w:val="24"/>
          <w:highlight w:val="none"/>
          <w:lang w:val="en-US" w:eastAsia="zh-CN"/>
        </w:rPr>
        <w:t>额定电压：10000/400V               额定频率：50 赫兹（Hz）</w:t>
      </w:r>
    </w:p>
    <w:p w14:paraId="4A699EC7">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szCs w:val="24"/>
          <w:highlight w:val="none"/>
          <w:lang w:val="en-US" w:eastAsia="zh-CN"/>
        </w:rPr>
      </w:pPr>
      <w:r>
        <w:rPr>
          <w:rFonts w:hint="eastAsia"/>
          <w:szCs w:val="24"/>
          <w:highlight w:val="none"/>
          <w:lang w:val="en-US" w:eastAsia="zh-CN"/>
        </w:rPr>
        <w:t xml:space="preserve">标准编号：GB/T 17467-2020          </w:t>
      </w:r>
    </w:p>
    <w:p w14:paraId="5323AC36">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szCs w:val="24"/>
          <w:highlight w:val="none"/>
          <w:lang w:val="en-US" w:eastAsia="zh-CN"/>
        </w:rPr>
      </w:pPr>
      <w:r>
        <w:rPr>
          <w:rFonts w:hint="eastAsia"/>
          <w:szCs w:val="24"/>
          <w:highlight w:val="none"/>
          <w:lang w:val="en-US" w:eastAsia="zh-CN"/>
        </w:rPr>
        <w:t>外形尺寸：长3500 mm×宽2700 mm×高2500mm</w:t>
      </w:r>
    </w:p>
    <w:p w14:paraId="229FEF9C">
      <w:pPr>
        <w:pStyle w:val="21"/>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szCs w:val="24"/>
          <w:highlight w:val="none"/>
          <w:lang w:val="en-US" w:eastAsia="zh-CN"/>
        </w:rPr>
      </w:pPr>
      <w:r>
        <w:rPr>
          <w:rFonts w:hint="eastAsia"/>
          <w:szCs w:val="24"/>
          <w:highlight w:val="none"/>
          <w:lang w:val="en-US" w:eastAsia="zh-CN"/>
        </w:rPr>
        <w:t xml:space="preserve">出厂日期：2024年12月            </w:t>
      </w:r>
    </w:p>
    <w:p w14:paraId="6380E8C3">
      <w:pPr>
        <w:pStyle w:val="21"/>
        <w:spacing w:before="0" w:beforeAutospacing="0" w:after="0" w:afterAutospacing="0" w:line="480" w:lineRule="auto"/>
        <w:ind w:firstLine="480" w:firstLineChars="200"/>
        <w:rPr>
          <w:szCs w:val="24"/>
          <w:highlight w:val="none"/>
        </w:rPr>
      </w:pPr>
      <w:r>
        <w:rPr>
          <w:rFonts w:hint="eastAsia"/>
          <w:szCs w:val="24"/>
          <w:highlight w:val="none"/>
        </w:rPr>
        <w:t>（2）评估依据</w:t>
      </w:r>
    </w:p>
    <w:p w14:paraId="0D7AEE56">
      <w:pPr>
        <w:pStyle w:val="21"/>
        <w:spacing w:before="0" w:beforeAutospacing="0" w:after="0" w:afterAutospacing="0" w:line="480" w:lineRule="auto"/>
        <w:ind w:firstLine="480" w:firstLineChars="200"/>
        <w:rPr>
          <w:rFonts w:hint="eastAsia"/>
          <w:szCs w:val="24"/>
          <w:highlight w:val="none"/>
        </w:rPr>
      </w:pPr>
      <w:r>
        <w:rPr>
          <w:rFonts w:hint="eastAsia"/>
          <w:szCs w:val="24"/>
          <w:highlight w:val="none"/>
        </w:rPr>
        <w:t>由采购人提供必要的评估资料。</w:t>
      </w:r>
    </w:p>
    <w:p w14:paraId="5323A812">
      <w:pPr>
        <w:spacing w:line="480" w:lineRule="auto"/>
        <w:ind w:firstLine="482" w:firstLineChars="200"/>
        <w:rPr>
          <w:rFonts w:hint="eastAsia" w:ascii="宋体" w:hAnsi="宋体"/>
          <w:b/>
          <w:bCs/>
          <w:sz w:val="24"/>
          <w:szCs w:val="24"/>
          <w:highlight w:val="none"/>
        </w:rPr>
      </w:pPr>
      <w:r>
        <w:rPr>
          <w:rFonts w:ascii="宋体" w:hAnsi="宋体"/>
          <w:b/>
          <w:bCs/>
          <w:sz w:val="24"/>
          <w:szCs w:val="24"/>
          <w:highlight w:val="none"/>
        </w:rPr>
        <w:t>3</w:t>
      </w:r>
      <w:r>
        <w:rPr>
          <w:rFonts w:hint="eastAsia" w:ascii="宋体" w:hAnsi="宋体"/>
          <w:b/>
          <w:bCs/>
          <w:sz w:val="24"/>
          <w:szCs w:val="24"/>
          <w:highlight w:val="none"/>
        </w:rPr>
        <w:t>、招标内容</w:t>
      </w:r>
    </w:p>
    <w:p w14:paraId="37ED357E">
      <w:pPr>
        <w:pStyle w:val="21"/>
        <w:spacing w:before="0" w:beforeAutospacing="0" w:after="0" w:afterAutospacing="0" w:line="480" w:lineRule="auto"/>
        <w:ind w:firstLine="480" w:firstLineChars="200"/>
        <w:rPr>
          <w:rFonts w:hint="eastAsia"/>
          <w:szCs w:val="24"/>
          <w:highlight w:val="none"/>
          <w:lang w:val="en-US" w:eastAsia="zh-CN"/>
        </w:rPr>
      </w:pPr>
      <w:r>
        <w:rPr>
          <w:rFonts w:hint="eastAsia"/>
          <w:szCs w:val="24"/>
          <w:highlight w:val="none"/>
        </w:rPr>
        <w:t>（1）完成</w:t>
      </w:r>
      <w:r>
        <w:rPr>
          <w:rFonts w:hint="eastAsia"/>
          <w:szCs w:val="24"/>
          <w:highlight w:val="none"/>
          <w:lang w:val="en-US" w:eastAsia="zh-CN"/>
        </w:rPr>
        <w:t>南屏果场首期开发地块范围内</w:t>
      </w:r>
      <w:r>
        <w:rPr>
          <w:rFonts w:hint="eastAsia" w:eastAsia="宋体"/>
          <w:b/>
          <w:bCs/>
          <w:szCs w:val="24"/>
          <w:highlight w:val="none"/>
          <w:lang w:val="en-US" w:eastAsia="zh-CN"/>
        </w:rPr>
        <w:t>箱变设备、电缆等</w:t>
      </w:r>
      <w:r>
        <w:rPr>
          <w:rFonts w:hint="eastAsia"/>
          <w:szCs w:val="24"/>
          <w:highlight w:val="none"/>
          <w:lang w:val="en-US" w:eastAsia="zh-CN"/>
        </w:rPr>
        <w:t>价值评估工作，价值时点为</w:t>
      </w:r>
      <w:r>
        <w:rPr>
          <w:rFonts w:hint="eastAsia"/>
          <w:b/>
          <w:bCs/>
          <w:szCs w:val="24"/>
          <w:highlight w:val="none"/>
          <w:lang w:val="en-US" w:eastAsia="zh-CN"/>
        </w:rPr>
        <w:t>实际评估日</w:t>
      </w:r>
      <w:r>
        <w:rPr>
          <w:rFonts w:hint="eastAsia"/>
          <w:szCs w:val="24"/>
          <w:highlight w:val="none"/>
          <w:lang w:val="en-US" w:eastAsia="zh-CN"/>
        </w:rPr>
        <w:t>。</w:t>
      </w:r>
    </w:p>
    <w:p w14:paraId="6B502239">
      <w:pPr>
        <w:pStyle w:val="21"/>
        <w:spacing w:before="0" w:beforeAutospacing="0" w:after="0" w:afterAutospacing="0" w:line="480" w:lineRule="auto"/>
        <w:ind w:firstLine="480" w:firstLineChars="200"/>
        <w:rPr>
          <w:rFonts w:hint="eastAsia"/>
          <w:szCs w:val="24"/>
          <w:highlight w:val="none"/>
          <w:lang w:val="en-US" w:eastAsia="zh-CN"/>
        </w:rPr>
      </w:pPr>
      <w:r>
        <w:rPr>
          <w:rFonts w:hint="eastAsia"/>
          <w:szCs w:val="24"/>
          <w:highlight w:val="none"/>
          <w:lang w:val="en-US" w:eastAsia="zh-CN"/>
        </w:rPr>
        <w:t>在保证质量并符合实际价值的前提下，出具评估报告书。本次采购服务不仅限于房地产评估报告或资产评估报告，以最终委托人的要求为准。</w:t>
      </w:r>
    </w:p>
    <w:p w14:paraId="5B8033E1">
      <w:pPr>
        <w:pStyle w:val="21"/>
        <w:spacing w:before="0" w:beforeAutospacing="0" w:after="0" w:afterAutospacing="0" w:line="480" w:lineRule="auto"/>
        <w:ind w:firstLine="480" w:firstLineChars="200"/>
        <w:rPr>
          <w:szCs w:val="24"/>
          <w:highlight w:val="none"/>
        </w:rPr>
      </w:pPr>
      <w:r>
        <w:rPr>
          <w:rFonts w:hint="eastAsia"/>
          <w:szCs w:val="24"/>
          <w:highlight w:val="none"/>
        </w:rPr>
        <w:t>（2）编制项目物业的评估报告书，所有成果文件符合国家及广东省资产评估标准并组织和确保</w:t>
      </w:r>
      <w:r>
        <w:rPr>
          <w:rFonts w:hint="eastAsia"/>
          <w:szCs w:val="24"/>
          <w:highlight w:val="none"/>
          <w:lang w:val="en-US" w:eastAsia="zh-CN"/>
        </w:rPr>
        <w:t>通过</w:t>
      </w:r>
      <w:r>
        <w:rPr>
          <w:rFonts w:hint="eastAsia"/>
          <w:szCs w:val="24"/>
          <w:highlight w:val="none"/>
        </w:rPr>
        <w:t>相关主管部门的评审。</w:t>
      </w:r>
    </w:p>
    <w:p w14:paraId="722AB29E">
      <w:pPr>
        <w:pStyle w:val="21"/>
        <w:spacing w:before="0" w:beforeAutospacing="0" w:after="0" w:afterAutospacing="0" w:line="480" w:lineRule="auto"/>
        <w:ind w:firstLine="480" w:firstLineChars="200"/>
        <w:rPr>
          <w:rFonts w:hint="eastAsia"/>
          <w:szCs w:val="24"/>
          <w:highlight w:val="none"/>
        </w:rPr>
      </w:pPr>
      <w:r>
        <w:rPr>
          <w:rFonts w:hint="eastAsia"/>
          <w:szCs w:val="24"/>
          <w:highlight w:val="none"/>
        </w:rPr>
        <w:t>（3）提供评估相关的其它咨询服务。</w:t>
      </w:r>
    </w:p>
    <w:p w14:paraId="2609AB01">
      <w:pPr>
        <w:spacing w:line="480" w:lineRule="auto"/>
        <w:ind w:left="482"/>
        <w:rPr>
          <w:rFonts w:hint="eastAsia" w:ascii="宋体" w:hAnsi="宋体"/>
          <w:b/>
          <w:bCs/>
          <w:sz w:val="24"/>
          <w:szCs w:val="24"/>
        </w:rPr>
      </w:pPr>
      <w:r>
        <w:rPr>
          <w:rFonts w:hint="eastAsia" w:ascii="宋体" w:hAnsi="宋体"/>
          <w:b/>
          <w:bCs/>
          <w:sz w:val="24"/>
          <w:szCs w:val="24"/>
        </w:rPr>
        <w:t>4、价值评估要求</w:t>
      </w:r>
    </w:p>
    <w:p w14:paraId="16CB091D">
      <w:pPr>
        <w:pStyle w:val="21"/>
        <w:spacing w:before="0" w:beforeAutospacing="0" w:after="0" w:afterAutospacing="0" w:line="480" w:lineRule="auto"/>
        <w:ind w:firstLine="480" w:firstLineChars="200"/>
        <w:rPr>
          <w:szCs w:val="24"/>
        </w:rPr>
      </w:pPr>
      <w:r>
        <w:rPr>
          <w:rFonts w:hint="eastAsia"/>
          <w:szCs w:val="24"/>
        </w:rPr>
        <w:t>（1）评估要求及计算方法：</w:t>
      </w:r>
    </w:p>
    <w:p w14:paraId="58722E85">
      <w:pPr>
        <w:pStyle w:val="21"/>
        <w:spacing w:before="0" w:beforeAutospacing="0" w:after="0" w:afterAutospacing="0" w:line="480" w:lineRule="auto"/>
        <w:ind w:firstLine="480" w:firstLineChars="200"/>
        <w:rPr>
          <w:rFonts w:hint="eastAsia"/>
          <w:szCs w:val="24"/>
        </w:rPr>
      </w:pPr>
      <w:r>
        <w:rPr>
          <w:rFonts w:hint="eastAsia"/>
          <w:szCs w:val="24"/>
        </w:rPr>
        <w:t>评估在对</w:t>
      </w:r>
      <w:r>
        <w:rPr>
          <w:rFonts w:hint="eastAsia"/>
          <w:szCs w:val="24"/>
          <w:lang w:val="en-US" w:eastAsia="zh-CN"/>
        </w:rPr>
        <w:t>设施</w:t>
      </w:r>
      <w:r>
        <w:rPr>
          <w:rFonts w:hint="eastAsia"/>
          <w:szCs w:val="24"/>
        </w:rPr>
        <w:t>进行评估时，</w:t>
      </w:r>
      <w:r>
        <w:rPr>
          <w:rFonts w:hint="eastAsia"/>
          <w:szCs w:val="24"/>
          <w:lang w:val="en-US" w:eastAsia="zh-CN"/>
        </w:rPr>
        <w:t>应充分考虑</w:t>
      </w:r>
      <w:r>
        <w:rPr>
          <w:rFonts w:hint="eastAsia"/>
          <w:szCs w:val="24"/>
        </w:rPr>
        <w:t>功能、</w:t>
      </w:r>
      <w:r>
        <w:rPr>
          <w:rFonts w:hint="eastAsia"/>
          <w:szCs w:val="24"/>
          <w:lang w:val="en-US" w:eastAsia="zh-CN"/>
        </w:rPr>
        <w:t>投产</w:t>
      </w:r>
      <w:r>
        <w:rPr>
          <w:rFonts w:hint="eastAsia"/>
          <w:szCs w:val="24"/>
        </w:rPr>
        <w:t>年份、周边市场价格等方面的对价值的影响</w:t>
      </w:r>
      <w:r>
        <w:rPr>
          <w:rFonts w:hint="eastAsia"/>
          <w:szCs w:val="24"/>
          <w:lang w:val="en-US" w:eastAsia="zh-CN"/>
        </w:rPr>
        <w:t>。</w:t>
      </w:r>
    </w:p>
    <w:p w14:paraId="3C3147BC">
      <w:pPr>
        <w:pStyle w:val="21"/>
        <w:spacing w:before="0" w:beforeAutospacing="0" w:after="0" w:afterAutospacing="0" w:line="480" w:lineRule="auto"/>
        <w:ind w:firstLine="480" w:firstLineChars="200"/>
        <w:rPr>
          <w:rFonts w:hint="eastAsia"/>
          <w:szCs w:val="24"/>
        </w:rPr>
      </w:pPr>
      <w:r>
        <w:rPr>
          <w:rFonts w:hint="eastAsia"/>
          <w:szCs w:val="24"/>
        </w:rPr>
        <w:t>（2）评估方法。</w:t>
      </w:r>
    </w:p>
    <w:p w14:paraId="30A04D4D">
      <w:pPr>
        <w:pStyle w:val="21"/>
        <w:spacing w:before="0" w:beforeAutospacing="0" w:after="0" w:afterAutospacing="0" w:line="480" w:lineRule="auto"/>
        <w:ind w:firstLine="480" w:firstLineChars="200"/>
        <w:rPr>
          <w:rFonts w:hint="eastAsia"/>
          <w:szCs w:val="24"/>
        </w:rPr>
      </w:pPr>
      <w:r>
        <w:rPr>
          <w:rFonts w:hint="eastAsia"/>
          <w:szCs w:val="24"/>
          <w:lang w:val="en-US" w:eastAsia="zh-CN"/>
        </w:rPr>
        <w:t>1.</w:t>
      </w:r>
      <w:r>
        <w:rPr>
          <w:rFonts w:hint="eastAsia"/>
          <w:szCs w:val="24"/>
        </w:rPr>
        <w:t>评估专业人员应当恰当选择评估方法，除依据评估执业准则只能选择一种评估方法的外，应当选择两种以上评估方法，经综合分析，形成评估结论，编制评估报告。</w:t>
      </w:r>
    </w:p>
    <w:p w14:paraId="294EFA74">
      <w:pPr>
        <w:pStyle w:val="21"/>
        <w:spacing w:before="0" w:beforeAutospacing="0" w:after="0" w:afterAutospacing="0" w:line="480" w:lineRule="auto"/>
        <w:ind w:firstLine="480" w:firstLineChars="200"/>
        <w:rPr>
          <w:szCs w:val="24"/>
        </w:rPr>
      </w:pPr>
      <w:r>
        <w:rPr>
          <w:rFonts w:hint="eastAsia"/>
          <w:szCs w:val="24"/>
          <w:lang w:val="en-US" w:eastAsia="zh-CN"/>
        </w:rPr>
        <w:t>2.</w:t>
      </w:r>
      <w:r>
        <w:rPr>
          <w:rFonts w:hint="eastAsia"/>
          <w:szCs w:val="24"/>
        </w:rPr>
        <w:t>执行标准：</w:t>
      </w:r>
      <w:r>
        <w:rPr>
          <w:szCs w:val="24"/>
        </w:rPr>
        <w:t>执行国家、广东省、珠海市现行</w:t>
      </w:r>
      <w:r>
        <w:rPr>
          <w:rFonts w:hint="eastAsia"/>
          <w:szCs w:val="24"/>
        </w:rPr>
        <w:t>法律法规及相关规定要求</w:t>
      </w:r>
      <w:r>
        <w:rPr>
          <w:szCs w:val="24"/>
        </w:rPr>
        <w:t>。</w:t>
      </w:r>
    </w:p>
    <w:p w14:paraId="73F4D015">
      <w:pPr>
        <w:pStyle w:val="21"/>
        <w:spacing w:before="0" w:beforeAutospacing="0" w:after="0" w:afterAutospacing="0" w:line="480" w:lineRule="auto"/>
        <w:ind w:firstLine="480" w:firstLineChars="200"/>
        <w:rPr>
          <w:szCs w:val="24"/>
        </w:rPr>
      </w:pPr>
      <w:r>
        <w:rPr>
          <w:rFonts w:hint="eastAsia"/>
          <w:szCs w:val="24"/>
          <w:lang w:val="en-US" w:eastAsia="zh-CN"/>
        </w:rPr>
        <w:t>3.</w:t>
      </w:r>
      <w:r>
        <w:rPr>
          <w:rFonts w:hint="eastAsia"/>
          <w:szCs w:val="24"/>
        </w:rPr>
        <w:t>其他事项：评估报告出具后，</w:t>
      </w:r>
      <w:r>
        <w:rPr>
          <w:szCs w:val="24"/>
        </w:rPr>
        <w:t>须</w:t>
      </w:r>
      <w:r>
        <w:rPr>
          <w:rFonts w:hint="eastAsia"/>
          <w:szCs w:val="24"/>
        </w:rPr>
        <w:t>发送</w:t>
      </w:r>
      <w:r>
        <w:rPr>
          <w:szCs w:val="24"/>
        </w:rPr>
        <w:t>一份</w:t>
      </w:r>
      <w:r>
        <w:rPr>
          <w:rFonts w:hint="eastAsia"/>
          <w:szCs w:val="24"/>
        </w:rPr>
        <w:t>成果扫描</w:t>
      </w:r>
      <w:r>
        <w:rPr>
          <w:szCs w:val="24"/>
        </w:rPr>
        <w:t>版</w:t>
      </w:r>
      <w:r>
        <w:rPr>
          <w:rFonts w:hint="eastAsia"/>
          <w:szCs w:val="24"/>
        </w:rPr>
        <w:t>给</w:t>
      </w:r>
      <w:r>
        <w:rPr>
          <w:szCs w:val="24"/>
        </w:rPr>
        <w:t>采购</w:t>
      </w:r>
      <w:r>
        <w:rPr>
          <w:rFonts w:hint="eastAsia"/>
          <w:szCs w:val="24"/>
        </w:rPr>
        <w:t>人</w:t>
      </w:r>
      <w:r>
        <w:rPr>
          <w:szCs w:val="24"/>
        </w:rPr>
        <w:t>指定经办人，并装订</w:t>
      </w:r>
      <w:r>
        <w:rPr>
          <w:rFonts w:hint="eastAsia"/>
          <w:szCs w:val="24"/>
          <w:lang w:val="en-US" w:eastAsia="zh-CN"/>
        </w:rPr>
        <w:t>3</w:t>
      </w:r>
      <w:r>
        <w:rPr>
          <w:szCs w:val="24"/>
        </w:rPr>
        <w:t>份成果文件送</w:t>
      </w:r>
      <w:r>
        <w:rPr>
          <w:rFonts w:hint="eastAsia"/>
          <w:szCs w:val="24"/>
        </w:rPr>
        <w:t>采购</w:t>
      </w:r>
      <w:r>
        <w:rPr>
          <w:szCs w:val="24"/>
        </w:rPr>
        <w:t>人存档</w:t>
      </w:r>
      <w:r>
        <w:rPr>
          <w:rFonts w:hint="eastAsia"/>
          <w:szCs w:val="24"/>
        </w:rPr>
        <w:t>。</w:t>
      </w:r>
    </w:p>
    <w:p w14:paraId="2A98D3D4">
      <w:pPr>
        <w:spacing w:line="480" w:lineRule="auto"/>
        <w:ind w:firstLine="482" w:firstLineChars="200"/>
        <w:rPr>
          <w:rFonts w:hint="eastAsia" w:ascii="宋体" w:hAnsi="宋体"/>
          <w:b/>
          <w:sz w:val="24"/>
          <w:szCs w:val="24"/>
        </w:rPr>
      </w:pPr>
      <w:r>
        <w:rPr>
          <w:rFonts w:ascii="宋体" w:hAnsi="宋体"/>
          <w:b/>
          <w:bCs/>
          <w:sz w:val="24"/>
          <w:szCs w:val="24"/>
        </w:rPr>
        <w:t>5</w:t>
      </w:r>
      <w:r>
        <w:rPr>
          <w:rFonts w:hint="eastAsia" w:ascii="宋体" w:hAnsi="宋体"/>
          <w:b/>
          <w:bCs/>
          <w:sz w:val="24"/>
          <w:szCs w:val="24"/>
        </w:rPr>
        <w:t>、</w:t>
      </w:r>
      <w:r>
        <w:rPr>
          <w:rFonts w:hint="eastAsia" w:ascii="宋体" w:hAnsi="宋体"/>
          <w:b/>
          <w:sz w:val="24"/>
          <w:szCs w:val="24"/>
        </w:rPr>
        <w:t>工作进度及成果要求</w:t>
      </w:r>
    </w:p>
    <w:p w14:paraId="1A30919D">
      <w:pPr>
        <w:pStyle w:val="21"/>
        <w:spacing w:before="0" w:beforeAutospacing="0" w:after="0" w:afterAutospacing="0" w:line="480" w:lineRule="auto"/>
        <w:ind w:firstLine="480" w:firstLineChars="200"/>
        <w:rPr>
          <w:rFonts w:hint="eastAsia"/>
          <w:szCs w:val="24"/>
        </w:rPr>
      </w:pPr>
      <w:r>
        <w:rPr>
          <w:rFonts w:hint="eastAsia"/>
          <w:szCs w:val="24"/>
        </w:rPr>
        <w:t>（1）中标后，</w:t>
      </w:r>
      <w:r>
        <w:rPr>
          <w:szCs w:val="24"/>
        </w:rPr>
        <w:t>接到正式</w:t>
      </w:r>
      <w:r>
        <w:rPr>
          <w:rFonts w:hint="eastAsia"/>
          <w:szCs w:val="24"/>
        </w:rPr>
        <w:t>评估委托函</w:t>
      </w:r>
      <w:r>
        <w:rPr>
          <w:szCs w:val="24"/>
        </w:rPr>
        <w:t>之日起7</w:t>
      </w:r>
      <w:r>
        <w:rPr>
          <w:rFonts w:hint="eastAsia"/>
          <w:szCs w:val="24"/>
        </w:rPr>
        <w:t>个工作日内提交咨询报告（初稿），满足动态管理要求；</w:t>
      </w:r>
    </w:p>
    <w:p w14:paraId="79AD58BC">
      <w:pPr>
        <w:pStyle w:val="21"/>
        <w:spacing w:before="0" w:beforeAutospacing="0" w:after="0" w:afterAutospacing="0" w:line="480" w:lineRule="auto"/>
        <w:ind w:firstLine="480" w:firstLineChars="200"/>
        <w:rPr>
          <w:rFonts w:hint="eastAsia"/>
          <w:szCs w:val="24"/>
        </w:rPr>
      </w:pPr>
      <w:r>
        <w:rPr>
          <w:rFonts w:hint="eastAsia"/>
          <w:szCs w:val="24"/>
        </w:rPr>
        <w:t>（2）如采购人对咨询报告（初稿）有修改</w:t>
      </w:r>
      <w:r>
        <w:rPr>
          <w:szCs w:val="24"/>
        </w:rPr>
        <w:t>意见，</w:t>
      </w:r>
      <w:r>
        <w:rPr>
          <w:rFonts w:hint="eastAsia"/>
          <w:szCs w:val="24"/>
        </w:rPr>
        <w:t>需</w:t>
      </w:r>
      <w:r>
        <w:rPr>
          <w:szCs w:val="24"/>
        </w:rPr>
        <w:t>在采购人提出修改意见</w:t>
      </w:r>
      <w:r>
        <w:rPr>
          <w:rFonts w:hint="eastAsia"/>
          <w:szCs w:val="24"/>
        </w:rPr>
        <w:t>后</w:t>
      </w:r>
      <w:r>
        <w:rPr>
          <w:szCs w:val="24"/>
        </w:rPr>
        <w:t>的</w:t>
      </w:r>
      <w:r>
        <w:rPr>
          <w:rFonts w:hint="eastAsia"/>
          <w:szCs w:val="24"/>
        </w:rPr>
        <w:t>3个</w:t>
      </w:r>
      <w:r>
        <w:rPr>
          <w:szCs w:val="24"/>
        </w:rPr>
        <w:t>工作日内</w:t>
      </w:r>
      <w:r>
        <w:rPr>
          <w:rFonts w:hint="eastAsia"/>
          <w:szCs w:val="24"/>
        </w:rPr>
        <w:t>作出</w:t>
      </w:r>
      <w:r>
        <w:rPr>
          <w:szCs w:val="24"/>
        </w:rPr>
        <w:t>修改</w:t>
      </w:r>
      <w:r>
        <w:rPr>
          <w:rFonts w:hint="eastAsia"/>
          <w:szCs w:val="24"/>
        </w:rPr>
        <w:t>；</w:t>
      </w:r>
      <w:r>
        <w:rPr>
          <w:szCs w:val="24"/>
        </w:rPr>
        <w:t>如采购人</w:t>
      </w:r>
      <w:r>
        <w:rPr>
          <w:rFonts w:hint="eastAsia"/>
          <w:szCs w:val="24"/>
        </w:rPr>
        <w:t>无</w:t>
      </w:r>
      <w:r>
        <w:rPr>
          <w:szCs w:val="24"/>
        </w:rPr>
        <w:t>相关修改意见，则在采购人确认通知后的</w:t>
      </w:r>
      <w:r>
        <w:rPr>
          <w:rFonts w:hint="eastAsia"/>
          <w:szCs w:val="24"/>
        </w:rPr>
        <w:t>1个</w:t>
      </w:r>
      <w:r>
        <w:rPr>
          <w:szCs w:val="24"/>
        </w:rPr>
        <w:t>工作日内出具正式盖章的</w:t>
      </w:r>
      <w:r>
        <w:rPr>
          <w:rFonts w:hint="eastAsia"/>
          <w:szCs w:val="24"/>
        </w:rPr>
        <w:t>咨询报告。</w:t>
      </w:r>
    </w:p>
    <w:p w14:paraId="45A4C2E2">
      <w:pPr>
        <w:pStyle w:val="21"/>
        <w:spacing w:before="0" w:beforeAutospacing="0" w:after="0" w:afterAutospacing="0" w:line="480" w:lineRule="auto"/>
        <w:ind w:firstLine="480" w:firstLineChars="200"/>
        <w:rPr>
          <w:rFonts w:hint="default" w:ascii="宋体" w:hAnsi="宋体" w:eastAsia="宋体" w:cs="宋体"/>
          <w:szCs w:val="24"/>
          <w:lang w:val="en-US" w:eastAsia="zh-CN"/>
        </w:rPr>
      </w:pPr>
      <w:r>
        <w:rPr>
          <w:rFonts w:hint="eastAsia" w:ascii="宋体" w:hAnsi="宋体" w:eastAsia="宋体" w:cs="宋体"/>
          <w:szCs w:val="24"/>
          <w:lang w:eastAsia="zh-CN"/>
        </w:rPr>
        <w:t>（</w:t>
      </w:r>
      <w:r>
        <w:rPr>
          <w:rFonts w:hint="eastAsia" w:ascii="宋体" w:hAnsi="宋体" w:eastAsia="宋体" w:cs="宋体"/>
          <w:szCs w:val="24"/>
          <w:lang w:val="en-US" w:eastAsia="zh-CN"/>
        </w:rPr>
        <w:t>3</w:t>
      </w:r>
      <w:r>
        <w:rPr>
          <w:rFonts w:hint="eastAsia" w:ascii="宋体" w:hAnsi="宋体" w:eastAsia="宋体" w:cs="宋体"/>
          <w:szCs w:val="24"/>
          <w:lang w:eastAsia="zh-CN"/>
        </w:rPr>
        <w:t>）</w:t>
      </w:r>
      <w:r>
        <w:rPr>
          <w:rFonts w:hint="eastAsia" w:ascii="宋体" w:hAnsi="宋体" w:eastAsia="宋体" w:cs="宋体"/>
          <w:b/>
          <w:bCs/>
          <w:szCs w:val="24"/>
          <w:lang w:val="en-US" w:eastAsia="zh-CN"/>
        </w:rPr>
        <w:t>出具两份评估报告：</w:t>
      </w:r>
      <w:r>
        <w:rPr>
          <w:rFonts w:hint="eastAsia"/>
          <w:szCs w:val="24"/>
          <w:highlight w:val="none"/>
          <w:lang w:val="en-US" w:eastAsia="zh-CN"/>
        </w:rPr>
        <w:t>地上箱变等配电设施评估报告</w:t>
      </w:r>
      <w:r>
        <w:rPr>
          <w:rFonts w:hint="eastAsia" w:ascii="宋体" w:hAnsi="宋体" w:eastAsia="宋体" w:cs="宋体"/>
          <w:b/>
          <w:bCs/>
          <w:szCs w:val="24"/>
          <w:lang w:val="en-US" w:eastAsia="zh-CN"/>
        </w:rPr>
        <w:t>。</w:t>
      </w:r>
    </w:p>
    <w:p w14:paraId="4635E1E5">
      <w:pPr>
        <w:pStyle w:val="21"/>
        <w:spacing w:before="0" w:beforeAutospacing="0" w:after="0" w:afterAutospacing="0" w:line="480" w:lineRule="auto"/>
        <w:ind w:firstLine="480" w:firstLineChars="200"/>
        <w:rPr>
          <w:rFonts w:hint="eastAsia"/>
          <w:szCs w:val="24"/>
        </w:rPr>
      </w:pPr>
      <w:r>
        <w:rPr>
          <w:rFonts w:hint="eastAsia"/>
          <w:szCs w:val="24"/>
          <w:lang w:eastAsia="zh-CN"/>
        </w:rPr>
        <w:t>（</w:t>
      </w:r>
      <w:r>
        <w:rPr>
          <w:rFonts w:hint="eastAsia"/>
          <w:szCs w:val="24"/>
          <w:lang w:val="en-US" w:eastAsia="zh-CN"/>
        </w:rPr>
        <w:t>4</w:t>
      </w:r>
      <w:r>
        <w:rPr>
          <w:rFonts w:hint="eastAsia"/>
          <w:szCs w:val="24"/>
          <w:lang w:eastAsia="zh-CN"/>
        </w:rPr>
        <w:t>）</w:t>
      </w:r>
      <w:r>
        <w:rPr>
          <w:rFonts w:hint="eastAsia"/>
          <w:szCs w:val="24"/>
        </w:rPr>
        <w:t>服务期限为中标通知书发出之日起至项目</w:t>
      </w:r>
      <w:r>
        <w:rPr>
          <w:szCs w:val="24"/>
        </w:rPr>
        <w:t>完成时止</w:t>
      </w:r>
      <w:r>
        <w:rPr>
          <w:rFonts w:hint="eastAsia"/>
          <w:szCs w:val="24"/>
        </w:rPr>
        <w:t>。</w:t>
      </w:r>
    </w:p>
    <w:sectPr>
      <w:footerReference r:id="rId3" w:type="default"/>
      <w:pgSz w:w="11906" w:h="16838"/>
      <w:pgMar w:top="1417" w:right="1701" w:bottom="1417" w:left="1701" w:header="720" w:footer="720"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F0C13">
    <w:pPr>
      <w:pStyle w:val="10"/>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3</w:t>
    </w:r>
    <w:r>
      <w:rPr>
        <w:rFonts w:hint="eastAsia"/>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5YWIyZTdhNzljMjdkYzYwOWViYmQwOGNmYWM2NDgifQ=="/>
  </w:docVars>
  <w:rsids>
    <w:rsidRoot w:val="00A0499F"/>
    <w:rsid w:val="00027461"/>
    <w:rsid w:val="000404BD"/>
    <w:rsid w:val="00045620"/>
    <w:rsid w:val="000506D8"/>
    <w:rsid w:val="00065397"/>
    <w:rsid w:val="0007202D"/>
    <w:rsid w:val="000925D2"/>
    <w:rsid w:val="00096BD0"/>
    <w:rsid w:val="000C5732"/>
    <w:rsid w:val="000D1A42"/>
    <w:rsid w:val="000D256F"/>
    <w:rsid w:val="000F3523"/>
    <w:rsid w:val="00116225"/>
    <w:rsid w:val="00124C01"/>
    <w:rsid w:val="001360C1"/>
    <w:rsid w:val="00141575"/>
    <w:rsid w:val="00152DBA"/>
    <w:rsid w:val="001879E7"/>
    <w:rsid w:val="00191417"/>
    <w:rsid w:val="001926F9"/>
    <w:rsid w:val="001C2E93"/>
    <w:rsid w:val="001C74E3"/>
    <w:rsid w:val="001E0E0F"/>
    <w:rsid w:val="001E5A2A"/>
    <w:rsid w:val="001E7B3E"/>
    <w:rsid w:val="001F0224"/>
    <w:rsid w:val="0021161A"/>
    <w:rsid w:val="00243165"/>
    <w:rsid w:val="0024688A"/>
    <w:rsid w:val="0025239F"/>
    <w:rsid w:val="00264DEC"/>
    <w:rsid w:val="00287354"/>
    <w:rsid w:val="00290F19"/>
    <w:rsid w:val="00292491"/>
    <w:rsid w:val="002A7272"/>
    <w:rsid w:val="002C075B"/>
    <w:rsid w:val="002D698E"/>
    <w:rsid w:val="002E4F63"/>
    <w:rsid w:val="00305F80"/>
    <w:rsid w:val="00310D7F"/>
    <w:rsid w:val="00344373"/>
    <w:rsid w:val="00366235"/>
    <w:rsid w:val="003A041A"/>
    <w:rsid w:val="003A5A00"/>
    <w:rsid w:val="003A60A9"/>
    <w:rsid w:val="003B0198"/>
    <w:rsid w:val="003C28B9"/>
    <w:rsid w:val="003F6E63"/>
    <w:rsid w:val="0040625A"/>
    <w:rsid w:val="0042087D"/>
    <w:rsid w:val="004215C3"/>
    <w:rsid w:val="0043195E"/>
    <w:rsid w:val="00440E83"/>
    <w:rsid w:val="0044629D"/>
    <w:rsid w:val="004702BB"/>
    <w:rsid w:val="00484247"/>
    <w:rsid w:val="00491C3D"/>
    <w:rsid w:val="004945B9"/>
    <w:rsid w:val="00497E46"/>
    <w:rsid w:val="004C5100"/>
    <w:rsid w:val="00511378"/>
    <w:rsid w:val="00522C21"/>
    <w:rsid w:val="0053286A"/>
    <w:rsid w:val="005447E5"/>
    <w:rsid w:val="00551797"/>
    <w:rsid w:val="00552C6C"/>
    <w:rsid w:val="005C0A39"/>
    <w:rsid w:val="005C60D6"/>
    <w:rsid w:val="005E4016"/>
    <w:rsid w:val="005F2D01"/>
    <w:rsid w:val="006168F4"/>
    <w:rsid w:val="006508B4"/>
    <w:rsid w:val="00673B59"/>
    <w:rsid w:val="006E2C9C"/>
    <w:rsid w:val="006F7853"/>
    <w:rsid w:val="00721D66"/>
    <w:rsid w:val="00747603"/>
    <w:rsid w:val="007478C8"/>
    <w:rsid w:val="00750A49"/>
    <w:rsid w:val="00772045"/>
    <w:rsid w:val="007749E5"/>
    <w:rsid w:val="007C6D82"/>
    <w:rsid w:val="00800249"/>
    <w:rsid w:val="00800EB0"/>
    <w:rsid w:val="008040DB"/>
    <w:rsid w:val="0082356B"/>
    <w:rsid w:val="00823F77"/>
    <w:rsid w:val="00826EB1"/>
    <w:rsid w:val="00833091"/>
    <w:rsid w:val="008377A7"/>
    <w:rsid w:val="0087734C"/>
    <w:rsid w:val="00884182"/>
    <w:rsid w:val="008B2D37"/>
    <w:rsid w:val="008B517B"/>
    <w:rsid w:val="008B5B76"/>
    <w:rsid w:val="008C729A"/>
    <w:rsid w:val="008E36D7"/>
    <w:rsid w:val="008F0125"/>
    <w:rsid w:val="008F23AF"/>
    <w:rsid w:val="00925689"/>
    <w:rsid w:val="009763BB"/>
    <w:rsid w:val="00986373"/>
    <w:rsid w:val="009B5CFC"/>
    <w:rsid w:val="009C1739"/>
    <w:rsid w:val="009F62AC"/>
    <w:rsid w:val="00A01B7A"/>
    <w:rsid w:val="00A0499F"/>
    <w:rsid w:val="00A06555"/>
    <w:rsid w:val="00A1095C"/>
    <w:rsid w:val="00A204A3"/>
    <w:rsid w:val="00A229EF"/>
    <w:rsid w:val="00A44327"/>
    <w:rsid w:val="00A5473F"/>
    <w:rsid w:val="00A66689"/>
    <w:rsid w:val="00A66927"/>
    <w:rsid w:val="00A81877"/>
    <w:rsid w:val="00AA129C"/>
    <w:rsid w:val="00AA304E"/>
    <w:rsid w:val="00AB7D4C"/>
    <w:rsid w:val="00AC20D1"/>
    <w:rsid w:val="00AC222D"/>
    <w:rsid w:val="00AE352D"/>
    <w:rsid w:val="00AF3D6D"/>
    <w:rsid w:val="00B50CC9"/>
    <w:rsid w:val="00B5344E"/>
    <w:rsid w:val="00B603D0"/>
    <w:rsid w:val="00B609B3"/>
    <w:rsid w:val="00B84D68"/>
    <w:rsid w:val="00B9057D"/>
    <w:rsid w:val="00B90CE8"/>
    <w:rsid w:val="00BA5079"/>
    <w:rsid w:val="00BA5E6D"/>
    <w:rsid w:val="00BB20E2"/>
    <w:rsid w:val="00BE60A8"/>
    <w:rsid w:val="00C1139E"/>
    <w:rsid w:val="00C23DCF"/>
    <w:rsid w:val="00C26E82"/>
    <w:rsid w:val="00C50872"/>
    <w:rsid w:val="00C5419F"/>
    <w:rsid w:val="00C56469"/>
    <w:rsid w:val="00C82425"/>
    <w:rsid w:val="00C8388C"/>
    <w:rsid w:val="00C83A63"/>
    <w:rsid w:val="00C86848"/>
    <w:rsid w:val="00CB4E4F"/>
    <w:rsid w:val="00CD3950"/>
    <w:rsid w:val="00CE071B"/>
    <w:rsid w:val="00D04409"/>
    <w:rsid w:val="00D13DD0"/>
    <w:rsid w:val="00D349D9"/>
    <w:rsid w:val="00D36187"/>
    <w:rsid w:val="00D40184"/>
    <w:rsid w:val="00D522CF"/>
    <w:rsid w:val="00D626A8"/>
    <w:rsid w:val="00D85D24"/>
    <w:rsid w:val="00D861A5"/>
    <w:rsid w:val="00DF340B"/>
    <w:rsid w:val="00DF4663"/>
    <w:rsid w:val="00E11C1E"/>
    <w:rsid w:val="00E31FE8"/>
    <w:rsid w:val="00E55C4E"/>
    <w:rsid w:val="00E60F15"/>
    <w:rsid w:val="00E84931"/>
    <w:rsid w:val="00E97B3F"/>
    <w:rsid w:val="00EA3EE5"/>
    <w:rsid w:val="00EA5280"/>
    <w:rsid w:val="00EB267F"/>
    <w:rsid w:val="00EB299D"/>
    <w:rsid w:val="00EB664D"/>
    <w:rsid w:val="00EC1C61"/>
    <w:rsid w:val="00ED21FE"/>
    <w:rsid w:val="00EF0629"/>
    <w:rsid w:val="00F1429C"/>
    <w:rsid w:val="00F24467"/>
    <w:rsid w:val="00F377F1"/>
    <w:rsid w:val="00F56870"/>
    <w:rsid w:val="00F73AEA"/>
    <w:rsid w:val="00F82EC8"/>
    <w:rsid w:val="00F90D99"/>
    <w:rsid w:val="00F94246"/>
    <w:rsid w:val="00FC6596"/>
    <w:rsid w:val="00FD1287"/>
    <w:rsid w:val="00FD275F"/>
    <w:rsid w:val="00FD4EAC"/>
    <w:rsid w:val="00FF0155"/>
    <w:rsid w:val="00FF3F77"/>
    <w:rsid w:val="00FF4939"/>
    <w:rsid w:val="0104545E"/>
    <w:rsid w:val="037A668F"/>
    <w:rsid w:val="062A2D91"/>
    <w:rsid w:val="0670519C"/>
    <w:rsid w:val="07E6312F"/>
    <w:rsid w:val="083041C3"/>
    <w:rsid w:val="09DF1D1E"/>
    <w:rsid w:val="09E4750F"/>
    <w:rsid w:val="0ADD0910"/>
    <w:rsid w:val="0D195858"/>
    <w:rsid w:val="0E88384C"/>
    <w:rsid w:val="10083D5F"/>
    <w:rsid w:val="10D750AD"/>
    <w:rsid w:val="11B36B9D"/>
    <w:rsid w:val="12764309"/>
    <w:rsid w:val="12D60C91"/>
    <w:rsid w:val="14892043"/>
    <w:rsid w:val="17EA439E"/>
    <w:rsid w:val="19DF0504"/>
    <w:rsid w:val="1A2E29AA"/>
    <w:rsid w:val="1B2D4429"/>
    <w:rsid w:val="1B4673BE"/>
    <w:rsid w:val="1BA73D7D"/>
    <w:rsid w:val="1D11464B"/>
    <w:rsid w:val="1D515CDD"/>
    <w:rsid w:val="1F594AD6"/>
    <w:rsid w:val="21996DC9"/>
    <w:rsid w:val="224A2AE3"/>
    <w:rsid w:val="24C17467"/>
    <w:rsid w:val="2B4531A9"/>
    <w:rsid w:val="2BFD5AE0"/>
    <w:rsid w:val="2D9214E0"/>
    <w:rsid w:val="329C23B4"/>
    <w:rsid w:val="36DE1817"/>
    <w:rsid w:val="37D06796"/>
    <w:rsid w:val="396C0698"/>
    <w:rsid w:val="3CEC0B43"/>
    <w:rsid w:val="3D237ECF"/>
    <w:rsid w:val="3EB31446"/>
    <w:rsid w:val="3EBD0A55"/>
    <w:rsid w:val="3FB56827"/>
    <w:rsid w:val="40E61958"/>
    <w:rsid w:val="41713BEB"/>
    <w:rsid w:val="42D00EC8"/>
    <w:rsid w:val="4498279F"/>
    <w:rsid w:val="4560787D"/>
    <w:rsid w:val="458614D2"/>
    <w:rsid w:val="47F25ED6"/>
    <w:rsid w:val="4A4B1721"/>
    <w:rsid w:val="4BBD4583"/>
    <w:rsid w:val="4D6843B6"/>
    <w:rsid w:val="4DB77100"/>
    <w:rsid w:val="4E5D4A0C"/>
    <w:rsid w:val="50781CD8"/>
    <w:rsid w:val="50AB663F"/>
    <w:rsid w:val="51223A4E"/>
    <w:rsid w:val="513B5C6F"/>
    <w:rsid w:val="53730E9C"/>
    <w:rsid w:val="53797844"/>
    <w:rsid w:val="53B451EE"/>
    <w:rsid w:val="54016A36"/>
    <w:rsid w:val="554D570A"/>
    <w:rsid w:val="59B23E4E"/>
    <w:rsid w:val="5CF2286D"/>
    <w:rsid w:val="5CF33F7F"/>
    <w:rsid w:val="5D0C78BA"/>
    <w:rsid w:val="5E5153C1"/>
    <w:rsid w:val="5E872183"/>
    <w:rsid w:val="5EA274BE"/>
    <w:rsid w:val="5FD947B3"/>
    <w:rsid w:val="60B40E4F"/>
    <w:rsid w:val="61E57AE7"/>
    <w:rsid w:val="62073C9A"/>
    <w:rsid w:val="6227461A"/>
    <w:rsid w:val="665310EE"/>
    <w:rsid w:val="66927795"/>
    <w:rsid w:val="678C216F"/>
    <w:rsid w:val="67A96622"/>
    <w:rsid w:val="68B54B6A"/>
    <w:rsid w:val="6A3C1A0B"/>
    <w:rsid w:val="6A4947EC"/>
    <w:rsid w:val="6F7148F5"/>
    <w:rsid w:val="70AB32FA"/>
    <w:rsid w:val="70ED3247"/>
    <w:rsid w:val="72DC145C"/>
    <w:rsid w:val="739F3884"/>
    <w:rsid w:val="743F0CF2"/>
    <w:rsid w:val="751044A8"/>
    <w:rsid w:val="75666D23"/>
    <w:rsid w:val="7861621F"/>
    <w:rsid w:val="787A0371"/>
    <w:rsid w:val="7A5901F5"/>
    <w:rsid w:val="7EEB430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name="toc 3"/>
    <w:lsdException w:unhideWhenUsed="0" w:uiPriority="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cs="宋体"/>
      <w:sz w:val="22"/>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jc w:val="center"/>
      <w:outlineLvl w:val="1"/>
    </w:pPr>
    <w:rPr>
      <w:rFonts w:ascii="Arial" w:hAnsi="Arial" w:eastAsia="黑体"/>
      <w:b/>
      <w:bCs/>
      <w:sz w:val="32"/>
      <w:szCs w:val="32"/>
    </w:rPr>
  </w:style>
  <w:style w:type="paragraph" w:styleId="4">
    <w:name w:val="heading 3"/>
    <w:basedOn w:val="1"/>
    <w:next w:val="1"/>
    <w:qFormat/>
    <w:uiPriority w:val="0"/>
    <w:pPr>
      <w:spacing w:before="18" w:after="100" w:afterAutospacing="1"/>
      <w:ind w:left="162"/>
      <w:outlineLvl w:val="2"/>
    </w:pPr>
    <w:rPr>
      <w:rFonts w:ascii="宋体" w:hAnsi="宋体"/>
      <w:sz w:val="28"/>
      <w:szCs w:val="28"/>
    </w:rPr>
  </w:style>
  <w:style w:type="paragraph" w:styleId="5">
    <w:name w:val="heading 4"/>
    <w:basedOn w:val="1"/>
    <w:next w:val="1"/>
    <w:qFormat/>
    <w:uiPriority w:val="0"/>
    <w:pPr>
      <w:keepNext/>
      <w:keepLines/>
      <w:spacing w:before="280" w:after="290" w:line="374" w:lineRule="auto"/>
      <w:outlineLvl w:val="3"/>
    </w:pPr>
    <w:rPr>
      <w:rFonts w:ascii="Arial" w:hAnsi="Arial" w:eastAsia="黑体" w:cs="Times New Roman"/>
      <w:b/>
      <w:bCs/>
      <w:sz w:val="28"/>
      <w:szCs w:val="28"/>
    </w:rPr>
  </w:style>
  <w:style w:type="character" w:default="1" w:styleId="15">
    <w:name w:val="Default Paragraph Font"/>
    <w:semiHidden/>
    <w:uiPriority w:val="0"/>
  </w:style>
  <w:style w:type="table" w:default="1" w:styleId="14">
    <w:name w:val="Normal Table"/>
    <w:semiHidden/>
    <w:uiPriority w:val="0"/>
    <w:tblPr>
      <w:tblStyle w:val="14"/>
      <w:tblCellMar>
        <w:top w:w="0" w:type="dxa"/>
        <w:left w:w="108" w:type="dxa"/>
        <w:bottom w:w="0" w:type="dxa"/>
        <w:right w:w="108" w:type="dxa"/>
      </w:tblCellMar>
    </w:tblPr>
  </w:style>
  <w:style w:type="paragraph" w:styleId="6">
    <w:name w:val="Document Map"/>
    <w:basedOn w:val="1"/>
    <w:semiHidden/>
    <w:uiPriority w:val="0"/>
    <w:pPr>
      <w:shd w:val="clear" w:color="auto" w:fill="000080"/>
    </w:pPr>
  </w:style>
  <w:style w:type="paragraph" w:styleId="7">
    <w:name w:val="Body Text Indent"/>
    <w:basedOn w:val="1"/>
    <w:uiPriority w:val="0"/>
    <w:pPr>
      <w:spacing w:after="120" w:afterLines="0"/>
      <w:ind w:left="420" w:leftChars="200"/>
    </w:pPr>
    <w:rPr>
      <w:szCs w:val="20"/>
    </w:rPr>
  </w:style>
  <w:style w:type="paragraph" w:styleId="8">
    <w:name w:val="toc 3"/>
    <w:basedOn w:val="1"/>
    <w:next w:val="1"/>
    <w:semiHidden/>
    <w:uiPriority w:val="0"/>
    <w:pPr>
      <w:spacing w:before="100" w:beforeAutospacing="1" w:after="100" w:afterAutospacing="1"/>
      <w:ind w:leftChars="400"/>
    </w:pPr>
  </w:style>
  <w:style w:type="paragraph" w:styleId="9">
    <w:name w:val="Balloon Text"/>
    <w:basedOn w:val="1"/>
    <w:semiHidden/>
    <w:uiPriority w:val="0"/>
    <w:rPr>
      <w:sz w:val="18"/>
      <w:szCs w:val="18"/>
    </w:r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iPriority w:val="0"/>
  </w:style>
  <w:style w:type="paragraph" w:styleId="13">
    <w:name w:val="toc 4"/>
    <w:basedOn w:val="1"/>
    <w:next w:val="1"/>
    <w:semiHidden/>
    <w:uiPriority w:val="0"/>
    <w:pPr>
      <w:spacing w:before="100" w:beforeAutospacing="1" w:after="100" w:afterAutospacing="1"/>
      <w:ind w:leftChars="600"/>
    </w:pPr>
  </w:style>
  <w:style w:type="character" w:styleId="16">
    <w:name w:val="Strong"/>
    <w:qFormat/>
    <w:uiPriority w:val="0"/>
    <w:rPr>
      <w:b/>
      <w:bCs/>
    </w:rPr>
  </w:style>
  <w:style w:type="character" w:styleId="17">
    <w:name w:val="page number"/>
    <w:basedOn w:val="15"/>
    <w:uiPriority w:val="0"/>
  </w:style>
  <w:style w:type="character" w:styleId="18">
    <w:name w:val="Hyperlink"/>
    <w:uiPriority w:val="0"/>
    <w:rPr>
      <w:color w:val="0000FF"/>
      <w:u w:val="single"/>
    </w:rPr>
  </w:style>
  <w:style w:type="character" w:customStyle="1" w:styleId="19">
    <w:name w:val="fontstyle01"/>
    <w:basedOn w:val="15"/>
    <w:uiPriority w:val="0"/>
    <w:rPr>
      <w:rFonts w:ascii="仿宋_GB2312" w:hAnsi="仿宋_GB2312" w:eastAsia="仿宋_GB2312" w:cs="仿宋_GB2312"/>
      <w:color w:val="000000"/>
      <w:sz w:val="32"/>
      <w:szCs w:val="32"/>
    </w:rPr>
  </w:style>
  <w:style w:type="paragraph" w:customStyle="1" w:styleId="20">
    <w:name w:val="Table Paragraph"/>
    <w:basedOn w:val="1"/>
    <w:uiPriority w:val="0"/>
  </w:style>
  <w:style w:type="paragraph" w:customStyle="1" w:styleId="21">
    <w:name w:val="普通 (Web)"/>
    <w:basedOn w:val="1"/>
    <w:uiPriority w:val="0"/>
    <w:pPr>
      <w:widowControl/>
      <w:spacing w:before="100" w:beforeLines="0" w:beforeAutospacing="1" w:after="100" w:afterLines="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1095</Words>
  <Characters>1158</Characters>
  <Lines>5</Lines>
  <Paragraphs>1</Paragraphs>
  <TotalTime>1</TotalTime>
  <ScaleCrop>false</ScaleCrop>
  <LinksUpToDate>false</LinksUpToDate>
  <CharactersWithSpaces>1289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2018-12-24T07:23:00Z</dcterms:created>
  <dc:creator>X</dc:creator>
  <cp:lastModifiedBy>FangFang</cp:lastModifiedBy>
  <cp:lastPrinted>2022-08-12T06:27:48Z</cp:lastPrinted>
  <dcterms:modified xsi:type="dcterms:W3CDTF">2026-09-14T02:23:26Z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FBD05E6D9E744BF4B05EA039382A7A4B_13</vt:lpwstr>
  </property>
  <property fmtid="{D5CDD505-2E9C-101B-9397-08002B2CF9AE}" pid="4" name="KSOTemplateDocerSaveRecord">
    <vt:lpwstr>eyJoZGlkIjoiYzYzM2NiMDhiYzg5NWY4MDk4OGRiZDIyMjE4YTQwODMiLCJ1c2VySWQiOiIzODA2ODc0NjMifQ==</vt:lpwstr>
  </property>
</Properties>
</file>