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cs="Times New Roman"/>
          <w:b/>
          <w:bCs w:val="0"/>
          <w:color w:val="auto"/>
          <w:spacing w:val="-10"/>
          <w:sz w:val="56"/>
          <w:szCs w:val="56"/>
          <w:lang w:val="en-US" w:eastAsia="zh-CN"/>
        </w:rPr>
        <w:t>香山云道设备泵房（消防、排污泵故障维修）</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（珠海正方公共资源运营有限公司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9</w:t>
      </w:r>
      <w:r>
        <w:rPr>
          <w:rFonts w:hint="default" w:ascii="Times New Roman" w:hAnsi="Times New Roman" w:cs="Times New Roman"/>
          <w:b/>
          <w:bCs/>
          <w:color w:val="auto"/>
          <w:sz w:val="32"/>
          <w:szCs w:val="32"/>
          <w:u w:val="thick"/>
        </w:rPr>
        <w:t>月</w:t>
      </w:r>
      <w:r>
        <w:rPr>
          <w:rFonts w:hint="eastAsia" w:cs="Times New Roman"/>
          <w:b/>
          <w:bCs/>
          <w:color w:val="auto"/>
          <w:sz w:val="32"/>
          <w:szCs w:val="32"/>
          <w:u w:val="thick"/>
          <w:lang w:val="en-US" w:eastAsia="zh-CN"/>
        </w:rPr>
        <w:t xml:space="preserve"> 16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19"/>
        <w:rPr>
          <w:rFonts w:hint="default" w:ascii="Times New Roman" w:hAnsi="Times New Roman" w:cs="Times New Roman"/>
          <w:color w:val="auto"/>
        </w:rPr>
      </w:pPr>
    </w:p>
    <w:p>
      <w:pPr>
        <w:numPr>
          <w:ilvl w:val="0"/>
          <w:numId w:val="1"/>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采购人</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珠海正方公共资源运营有限公司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480" w:lineRule="auto"/>
        <w:rPr>
          <w:rFonts w:hint="eastAsia" w:cs="Times New Roman"/>
          <w:b/>
          <w:bCs/>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r>
        <w:rPr>
          <w:rFonts w:hint="eastAsia" w:cs="Times New Roman"/>
          <w:b w:val="0"/>
          <w:bCs w:val="0"/>
          <w:color w:val="auto"/>
          <w:sz w:val="24"/>
          <w:lang w:val="en-US" w:eastAsia="zh-CN"/>
        </w:rPr>
        <w:t>香山云道鸡公山、南门、驿站、华南明宇泵房消防、排污、稳压泵故障，采购维修服务。</w:t>
      </w:r>
    </w:p>
    <w:p>
      <w:pPr>
        <w:numPr>
          <w:ilvl w:val="0"/>
          <w:numId w:val="1"/>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采购预算总额</w:t>
      </w:r>
    </w:p>
    <w:p>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eastAsia="zh-CN"/>
        </w:rPr>
        <w:t>陆仟元整</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6000.00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eastAsia="zh-CN"/>
        </w:rPr>
        <w:t>陆仟元整</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6000.00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r>
        <w:rPr>
          <w:rFonts w:hint="eastAsia" w:cs="Times New Roman"/>
          <w:color w:val="auto"/>
          <w:sz w:val="24"/>
          <w:u w:val="single"/>
          <w:lang w:val="en-US" w:eastAsia="zh-CN"/>
        </w:rPr>
        <w:t>香山云道设备泵房（消防、排污泵故障维修）</w:t>
      </w:r>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1.投标人必须是在中华人民共和国境内依法注册、具备独立民事责任承担能力的法人、其他组织及个体工商户，持有合法有效营业执照；</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2.供应商未被列入“信用中国”网站(www.creditchina.gov.cn)“记录失信被执行人或重大税收违法失信主体”记录名单；若供应商为个体户，则需未被列入“国家企业信用信息公示系统”网站（www.gsxt.gov.cn）“经营异常或严重违法失信”记录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3.未被纳入正方集团“黑名单”；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4.与其他投标人不存在单位负责人为同一人或者存在控股、管理关系；</w:t>
      </w:r>
    </w:p>
    <w:p>
      <w:pPr>
        <w:spacing w:beforeLines="0" w:afterLines="0" w:line="480" w:lineRule="auto"/>
        <w:ind w:firstLine="480" w:firstLineChars="200"/>
        <w:rPr>
          <w:rFonts w:hint="default" w:ascii="Times New Roman" w:hAnsi="Times New Roman" w:eastAsia="宋体" w:cs="Times New Roman"/>
          <w:color w:val="auto"/>
        </w:rPr>
      </w:pPr>
      <w:r>
        <w:rPr>
          <w:rFonts w:hint="default" w:ascii="Times New Roman" w:hAnsi="Times New Roman" w:eastAsia="宋体" w:cs="Times New Roman"/>
          <w:b w:val="0"/>
          <w:bCs w:val="0"/>
          <w:color w:val="auto"/>
          <w:sz w:val="24"/>
        </w:rPr>
        <w:t>5.本项目不接受联合体投标。</w:t>
      </w: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6"/>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pPr>
        <w:pStyle w:val="6"/>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4"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9</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18 </w:t>
      </w:r>
      <w:r>
        <w:rPr>
          <w:rFonts w:hint="default" w:ascii="Times New Roman" w:hAnsi="Times New Roman" w:eastAsia="宋体" w:cs="Times New Roman"/>
          <w:color w:val="auto"/>
          <w:sz w:val="24"/>
        </w:rPr>
        <w:t>日 1</w:t>
      </w:r>
      <w:r>
        <w:rPr>
          <w:rFonts w:hint="eastAsia" w:cs="Times New Roman"/>
          <w:color w:val="auto"/>
          <w:sz w:val="24"/>
          <w:lang w:val="en-US" w:eastAsia="zh-CN"/>
        </w:rPr>
        <w:t>7:3</w:t>
      </w:r>
      <w:r>
        <w:rPr>
          <w:rFonts w:hint="default" w:ascii="Times New Roman" w:hAnsi="Times New Roman" w:eastAsia="宋体" w:cs="Times New Roman"/>
          <w:color w:val="auto"/>
          <w:sz w:val="24"/>
        </w:rPr>
        <w:t>0（北京时间）；</w:t>
      </w:r>
    </w:p>
    <w:permEnd w:id="4"/>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5" w:edGrp="everyone"/>
      <w:r>
        <w:rPr>
          <w:rFonts w:hint="eastAsia" w:cs="Times New Roman"/>
          <w:color w:val="auto"/>
          <w:sz w:val="24"/>
          <w:lang w:val="en-US" w:eastAsia="zh-CN"/>
        </w:rPr>
        <w:t>投标单位全称+</w:t>
      </w:r>
      <w:r>
        <w:rPr>
          <w:rFonts w:hint="eastAsia" w:cs="Times New Roman"/>
          <w:color w:val="auto"/>
          <w:sz w:val="24"/>
          <w:lang w:eastAsia="zh-CN"/>
        </w:rPr>
        <w:t>香山云道设备泵房（消防、排污泵故障维修）</w:t>
      </w:r>
      <w:r>
        <w:rPr>
          <w:rFonts w:hint="default" w:ascii="Times New Roman" w:hAnsi="Times New Roman" w:eastAsia="宋体" w:cs="Times New Roman"/>
          <w:color w:val="auto"/>
          <w:sz w:val="24"/>
        </w:rPr>
        <w:t>+</w:t>
      </w:r>
      <w:r>
        <w:rPr>
          <w:rFonts w:hint="eastAsia" w:cs="Times New Roman"/>
          <w:color w:val="auto"/>
          <w:sz w:val="24"/>
          <w:lang w:val="en-US" w:eastAsia="zh-CN"/>
        </w:rPr>
        <w:t>许工</w:t>
      </w:r>
      <w:permEnd w:id="5"/>
      <w:r>
        <w:rPr>
          <w:rFonts w:hint="default" w:ascii="Times New Roman" w:hAnsi="Times New Roman" w:eastAsia="宋体" w:cs="Times New Roman"/>
          <w:color w:val="auto"/>
          <w:sz w:val="24"/>
        </w:rPr>
        <w:t>）。</w:t>
      </w:r>
    </w:p>
    <w:p>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4"/>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pPr>
        <w:pStyle w:val="34"/>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4"/>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4"/>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pPr>
        <w:pStyle w:val="34"/>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pPr>
        <w:pStyle w:val="34"/>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pPr>
        <w:pStyle w:val="34"/>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pPr>
        <w:pStyle w:val="34"/>
        <w:spacing w:beforeLines="0" w:afterLines="0" w:line="480" w:lineRule="auto"/>
        <w:ind w:firstLine="480"/>
        <w:rPr>
          <w:rFonts w:hint="eastAsia"/>
        </w:rPr>
      </w:pPr>
      <w:r>
        <w:rPr>
          <w:rFonts w:hint="default" w:ascii="宋体" w:hAnsi="宋体"/>
          <w:sz w:val="24"/>
        </w:rPr>
        <w:t>（4）其他细微偏差按照有利于采购人的原则进行补正。</w:t>
      </w:r>
    </w:p>
    <w:p>
      <w:pPr>
        <w:pStyle w:val="2"/>
        <w:rPr>
          <w:rFonts w:hint="eastAsia"/>
        </w:rPr>
      </w:pP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numPr>
          <w:ilvl w:val="0"/>
          <w:numId w:val="0"/>
        </w:num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珠海市香洲区卫康路199号香洲创港中心17栋14楼。</w:t>
      </w:r>
    </w:p>
    <w:p>
      <w:pPr>
        <w:numPr>
          <w:ilvl w:val="0"/>
          <w:numId w:val="0"/>
        </w:numPr>
        <w:spacing w:beforeLines="0" w:afterLines="0" w:line="480" w:lineRule="auto"/>
        <w:ind w:firstLine="480" w:firstLineChars="200"/>
        <w:rPr>
          <w:rFonts w:hint="default" w:ascii="Times New Roman" w:hAnsi="Times New Roman" w:eastAsia="宋体" w:cs="Times New Roman"/>
          <w:color w:val="auto"/>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6" w:edGrp="everyone"/>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val="en-US" w:eastAsia="zh-CN"/>
        </w:rPr>
        <w:t>许</w:t>
      </w:r>
      <w:r>
        <w:rPr>
          <w:rFonts w:hint="eastAsia" w:cs="Times New Roman"/>
          <w:color w:val="auto"/>
          <w:sz w:val="24"/>
          <w:szCs w:val="24"/>
          <w:lang w:val="en-US" w:eastAsia="zh-CN"/>
        </w:rPr>
        <w:t>工15989798246</w:t>
      </w:r>
      <w:r>
        <w:rPr>
          <w:rFonts w:hint="eastAsia" w:ascii="Times New Roman" w:hAnsi="Times New Roman" w:eastAsia="宋体" w:cs="Times New Roman"/>
          <w:color w:val="auto"/>
          <w:sz w:val="24"/>
          <w:szCs w:val="24"/>
          <w:lang w:eastAsia="zh-CN"/>
        </w:rPr>
        <w:t>）</w:t>
      </w:r>
      <w:permEnd w:id="6"/>
      <w:r>
        <w:rPr>
          <w:rFonts w:hint="default" w:ascii="Times New Roman" w:hAnsi="Times New Roman" w:eastAsia="宋体" w:cs="Times New Roman"/>
          <w:color w:val="auto"/>
          <w:sz w:val="24"/>
        </w:rPr>
        <w:t>。</w:t>
      </w:r>
    </w:p>
    <w:p>
      <w:pPr>
        <w:pStyle w:val="19"/>
        <w:ind w:firstLine="480" w:firstLineChars="200"/>
        <w:rPr>
          <w:rFonts w:hint="default" w:ascii="Times New Roman" w:hAnsi="Times New Roman" w:eastAsia="宋体" w:cs="Times New Roman"/>
          <w:color w:val="auto"/>
          <w:sz w:val="24"/>
          <w:szCs w:val="24"/>
        </w:rPr>
      </w:pPr>
    </w:p>
    <w:p>
      <w:pPr>
        <w:pStyle w:val="19"/>
        <w:jc w:val="right"/>
        <w:rPr>
          <w:rFonts w:hint="eastAsia" w:ascii="宋体" w:hAnsi="宋体" w:eastAsia="宋体" w:cs="宋体"/>
          <w:color w:val="auto"/>
          <w:sz w:val="24"/>
          <w:szCs w:val="24"/>
        </w:rPr>
      </w:pPr>
    </w:p>
    <w:p>
      <w:pPr>
        <w:pStyle w:val="19"/>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珠海正方公共资源运营有限公司</w:t>
      </w:r>
      <w:r>
        <w:rPr>
          <w:rFonts w:hint="eastAsia" w:ascii="宋体" w:hAnsi="宋体" w:eastAsia="宋体" w:cs="宋体"/>
          <w:color w:val="auto"/>
          <w:sz w:val="24"/>
          <w:szCs w:val="24"/>
        </w:rPr>
        <w:t xml:space="preserve">         </w:t>
      </w:r>
    </w:p>
    <w:p>
      <w:pPr>
        <w:pStyle w:val="19"/>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 xml:space="preserve">月 </w:t>
      </w:r>
      <w:r>
        <w:rPr>
          <w:rFonts w:hint="eastAsia" w:ascii="宋体" w:hAnsi="宋体" w:cs="宋体"/>
          <w:color w:val="auto"/>
          <w:sz w:val="24"/>
          <w:szCs w:val="24"/>
          <w:lang w:val="en-US" w:eastAsia="zh-CN"/>
        </w:rPr>
        <w:t>16</w:t>
      </w:r>
      <w:bookmarkStart w:id="94" w:name="_GoBack"/>
      <w:bookmarkEnd w:id="94"/>
      <w:r>
        <w:rPr>
          <w:rFonts w:hint="eastAsia" w:ascii="宋体" w:hAnsi="宋体" w:eastAsia="宋体" w:cs="宋体"/>
          <w:color w:val="auto"/>
          <w:sz w:val="24"/>
          <w:szCs w:val="24"/>
        </w:rPr>
        <w:t xml:space="preserve"> 日</w:t>
      </w: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9199"/>
      <w:bookmarkStart w:id="3" w:name="_Toc27664"/>
      <w:bookmarkStart w:id="4" w:name="_Toc15547"/>
      <w:r>
        <w:rPr>
          <w:rFonts w:hint="eastAsia" w:ascii="宋体" w:hAnsi="宋体" w:eastAsia="宋体"/>
          <w:lang w:eastAsia="zh-CN"/>
        </w:rPr>
        <w:t>报价文件格式</w:t>
      </w:r>
      <w:bookmarkEnd w:id="2"/>
      <w:bookmarkEnd w:id="3"/>
      <w:bookmarkEnd w:id="4"/>
      <w:bookmarkStart w:id="5" w:name="_Toc503427708"/>
      <w:bookmarkStart w:id="6" w:name="_Toc276645578"/>
    </w:p>
    <w:p>
      <w:pPr>
        <w:pStyle w:val="4"/>
        <w:spacing w:line="360" w:lineRule="auto"/>
        <w:rPr>
          <w:rFonts w:hint="eastAsia" w:ascii="黑体" w:hAnsi="黑体" w:eastAsia="黑体" w:cs="黑体"/>
          <w:b/>
          <w:bCs w:val="0"/>
          <w:sz w:val="28"/>
          <w:szCs w:val="28"/>
        </w:rPr>
      </w:pPr>
      <w:bookmarkStart w:id="7" w:name="_Toc202251700"/>
      <w:bookmarkStart w:id="8" w:name="_Toc202252034"/>
      <w:bookmarkStart w:id="9" w:name="_Toc202820351"/>
      <w:bookmarkStart w:id="10" w:name="_Toc276645579"/>
      <w:bookmarkStart w:id="11" w:name="_Toc202816996"/>
      <w:bookmarkStart w:id="12" w:name="_Toc259090982"/>
      <w:bookmarkStart w:id="13" w:name="_Toc503427710"/>
      <w:bookmarkStart w:id="14" w:name="_Toc16107"/>
      <w:bookmarkStart w:id="15" w:name="_Toc202254105"/>
      <w:bookmarkStart w:id="16" w:name="_Toc202251075"/>
      <w:bookmarkStart w:id="17" w:name="_Toc202819878"/>
      <w:bookmarkStart w:id="18" w:name="_Toc17685"/>
      <w:bookmarkStart w:id="19" w:name="_Toc698"/>
      <w:bookmarkStart w:id="20" w:name="_Toc15317"/>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ascii="宋体" w:hAnsi="宋体"/>
          <w:sz w:val="28"/>
        </w:rPr>
      </w:pPr>
      <w:bookmarkStart w:id="21" w:name="_Toc24181"/>
      <w:bookmarkStart w:id="22" w:name="_Toc259090983"/>
      <w:bookmarkStart w:id="23" w:name="_Toc20366"/>
      <w:bookmarkStart w:id="24" w:name="_Toc32660"/>
      <w:bookmarkStart w:id="25" w:name="_Toc276645580"/>
      <w:bookmarkStart w:id="26" w:name="_Toc13089"/>
      <w:bookmarkStart w:id="27" w:name="_Toc503427711"/>
      <w:r>
        <w:rPr>
          <w:rFonts w:hint="eastAsia" w:ascii="宋体" w:hAnsi="宋体"/>
          <w:sz w:val="28"/>
        </w:rPr>
        <w:t>1.1投标函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珠海正方公共资源运营有限公司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香山云道设备泵房（消防、排污泵故障维修）</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5"/>
        <w:spacing w:before="100" w:after="100" w:line="360" w:lineRule="auto"/>
        <w:rPr>
          <w:rFonts w:hint="eastAsia" w:ascii="宋体" w:hAnsi="宋体" w:eastAsia="宋体"/>
          <w:sz w:val="28"/>
          <w:lang w:val="en-US" w:eastAsia="zh-CN"/>
        </w:rPr>
      </w:pPr>
      <w:bookmarkStart w:id="29" w:name="_Toc27591"/>
      <w:bookmarkStart w:id="30" w:name="_Toc503427713"/>
      <w:bookmarkStart w:id="31" w:name="_Toc528"/>
      <w:bookmarkStart w:id="32" w:name="_Toc19817"/>
      <w:bookmarkStart w:id="33" w:name="_Toc19171"/>
      <w:bookmarkStart w:id="34" w:name="_Toc17080"/>
      <w:r>
        <w:rPr>
          <w:rFonts w:hint="eastAsia" w:ascii="宋体" w:hAnsi="宋体" w:eastAsia="宋体"/>
          <w:sz w:val="28"/>
          <w:lang w:val="en-US" w:eastAsia="zh-CN"/>
        </w:rPr>
        <w:t>1.3关于资格的声明函</w:t>
      </w:r>
      <w:bookmarkEnd w:id="29"/>
      <w:bookmarkEnd w:id="30"/>
      <w:bookmarkEnd w:id="31"/>
      <w:bookmarkEnd w:id="32"/>
      <w:bookmarkEnd w:id="33"/>
      <w:bookmarkEnd w:id="34"/>
    </w:p>
    <w:p>
      <w:pPr>
        <w:pStyle w:val="6"/>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珠海正方公共资源运营有限公司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香山云道设备泵房（消防、排污泵故障维修）</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r>
        <w:rPr>
          <w:rFonts w:hint="eastAsia" w:ascii="宋体" w:hAnsi="宋体"/>
          <w:sz w:val="24"/>
          <w:lang w:eastAsia="zh-CN"/>
        </w:rPr>
        <w:t>；</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hint="eastAsia" w:ascii="宋体" w:hAnsi="宋体" w:eastAsia="宋体"/>
          <w:sz w:val="24"/>
          <w:lang w:eastAsia="zh-CN"/>
        </w:rPr>
      </w:pPr>
      <w:r>
        <w:rPr>
          <w:rFonts w:hint="eastAsia" w:ascii="宋体" w:hAnsi="宋体"/>
          <w:sz w:val="24"/>
          <w:lang w:val="en-US" w:eastAsia="zh-CN"/>
        </w:rPr>
        <w:t>2</w:t>
      </w:r>
      <w:r>
        <w:rPr>
          <w:rFonts w:hint="eastAsia" w:ascii="宋体" w:hAnsi="宋体"/>
          <w:sz w:val="24"/>
        </w:rPr>
        <w:t>.2 存在直接控股或管理关系的</w:t>
      </w:r>
      <w:r>
        <w:rPr>
          <w:rFonts w:hint="eastAsia" w:ascii="宋体" w:hAnsi="宋体"/>
          <w:sz w:val="24"/>
          <w:lang w:eastAsia="zh-CN"/>
        </w:rPr>
        <w:t>。</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35" w:name="_Toc32141"/>
      <w:bookmarkStart w:id="36" w:name="_Toc19796"/>
      <w:bookmarkStart w:id="37" w:name="_Toc5048"/>
      <w:bookmarkStart w:id="38" w:name="_Toc6220"/>
      <w:bookmarkStart w:id="39" w:name="_Toc19969"/>
      <w:bookmarkStart w:id="40" w:name="_Toc31767"/>
      <w:bookmarkStart w:id="41" w:name="_Toc10585"/>
      <w:bookmarkStart w:id="42" w:name="_Toc31877"/>
      <w:bookmarkStart w:id="43" w:name="_Toc10559"/>
      <w:bookmarkStart w:id="44" w:name="_Toc24969"/>
      <w:bookmarkStart w:id="45" w:name="_Toc26971"/>
      <w:bookmarkStart w:id="46" w:name="_Toc14285"/>
      <w:bookmarkStart w:id="47" w:name="_Toc15464"/>
      <w:bookmarkStart w:id="48" w:name="_Toc9476"/>
      <w:bookmarkStart w:id="49" w:name="_Toc24356"/>
      <w:bookmarkStart w:id="50" w:name="_Toc13922"/>
      <w:bookmarkStart w:id="51" w:name="_Toc6275"/>
      <w:bookmarkStart w:id="52" w:name="_Toc264628882"/>
      <w:bookmarkStart w:id="53" w:name="_Toc4427"/>
      <w:bookmarkStart w:id="54" w:name="_Toc27468"/>
      <w:bookmarkStart w:id="55" w:name="_Toc503427714"/>
      <w:bookmarkStart w:id="56" w:name="_Toc276645583"/>
      <w:bookmarkStart w:id="57" w:name="_Toc32498"/>
      <w:bookmarkStart w:id="58" w:name="_Toc4726"/>
      <w:r>
        <w:rPr>
          <w:rFonts w:hint="eastAsia" w:ascii="宋体" w:hAnsi="宋体" w:eastAsia="宋体"/>
          <w:sz w:val="28"/>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hAnsi="宋体" w:eastAsia="宋体" w:cs="宋体"/>
          <w:b/>
          <w:bCs/>
          <w:kern w:val="28"/>
          <w:sz w:val="24"/>
          <w:szCs w:val="24"/>
          <w:lang w:eastAsia="zh-CN"/>
        </w:r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w:t>
      </w:r>
      <w:r>
        <w:rPr>
          <w:rFonts w:hint="eastAsia" w:hAnsi="宋体" w:cs="宋体"/>
          <w:kern w:val="28"/>
          <w:sz w:val="24"/>
          <w:szCs w:val="24"/>
          <w:lang w:eastAsia="zh-CN"/>
        </w:rPr>
        <w:t>、</w:t>
      </w:r>
      <w:r>
        <w:rPr>
          <w:rFonts w:hint="eastAsia" w:ascii="宋体" w:hAnsi="宋体" w:eastAsia="宋体" w:cs="宋体"/>
          <w:kern w:val="28"/>
          <w:sz w:val="24"/>
          <w:szCs w:val="24"/>
        </w:rPr>
        <w:t>其他组织及个体工商户，持有合法有效的法人营业执照或登记证书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w:t>
      </w:r>
      <w:r>
        <w:rPr>
          <w:rFonts w:hint="default" w:ascii="宋体" w:hAnsi="宋体" w:eastAsia="宋体" w:cs="宋体"/>
          <w:bCs/>
          <w:sz w:val="28"/>
          <w:szCs w:val="28"/>
          <w:lang w:val="en-US" w:eastAsia="zh-CN"/>
        </w:rPr>
        <w:drawing>
          <wp:inline distT="0" distB="0" distL="114300" distR="114300">
            <wp:extent cx="5271770" cy="3615055"/>
            <wp:effectExtent l="0" t="0" r="5080" b="4445"/>
            <wp:docPr id="4" name="图片 4" descr="177432389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74323892137"/>
                    <pic:cNvPicPr>
                      <a:picLocks noChangeAspect="1"/>
                    </pic:cNvPicPr>
                  </pic:nvPicPr>
                  <pic:blipFill>
                    <a:blip r:embed="rId8"/>
                    <a:stretch>
                      <a:fillRect/>
                    </a:stretch>
                  </pic:blipFill>
                  <pic:spPr>
                    <a:xfrm>
                      <a:off x="0" y="0"/>
                      <a:ext cx="5271770" cy="3615055"/>
                    </a:xfrm>
                    <a:prstGeom prst="rect">
                      <a:avLst/>
                    </a:prstGeom>
                  </pic:spPr>
                </pic:pic>
              </a:graphicData>
            </a:graphic>
          </wp:inline>
        </w:drawing>
      </w:r>
      <w:r>
        <w:rPr>
          <w:rFonts w:hint="eastAsia" w:ascii="宋体" w:hAnsi="宋体" w:eastAsia="宋体" w:cs="宋体"/>
          <w:b/>
          <w:bCs/>
          <w:kern w:val="28"/>
          <w:sz w:val="24"/>
          <w:szCs w:val="24"/>
        </w:rPr>
        <w:t>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59" w:name="_Toc20437"/>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59"/>
    </w:p>
    <w:p>
      <w:pPr>
        <w:keepLines/>
        <w:widowControl/>
        <w:spacing w:line="360" w:lineRule="auto"/>
        <w:jc w:val="center"/>
        <w:rPr>
          <w:rFonts w:ascii="宋体" w:hAnsi="宋体"/>
          <w:sz w:val="24"/>
        </w:rPr>
      </w:pPr>
    </w:p>
    <w:p>
      <w:pPr>
        <w:pStyle w:val="6"/>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珠海正方公共资源运营有限公司</w:t>
      </w:r>
    </w:p>
    <w:p>
      <w:pPr>
        <w:pStyle w:val="6"/>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6"/>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6"/>
        <w:keepLines/>
        <w:widowControl/>
        <w:snapToGrid w:val="0"/>
        <w:spacing w:line="360" w:lineRule="auto"/>
        <w:ind w:firstLine="0"/>
        <w:rPr>
          <w:rFonts w:hAnsi="宋体"/>
          <w:bCs/>
          <w:sz w:val="24"/>
          <w:szCs w:val="24"/>
        </w:rPr>
      </w:pPr>
    </w:p>
    <w:p>
      <w:pPr>
        <w:pStyle w:val="6"/>
        <w:keepLines/>
        <w:widowControl/>
        <w:snapToGrid w:val="0"/>
        <w:spacing w:line="360" w:lineRule="auto"/>
        <w:ind w:firstLine="0"/>
        <w:rPr>
          <w:rFonts w:hAnsi="宋体"/>
          <w:bCs/>
          <w:sz w:val="24"/>
          <w:szCs w:val="24"/>
        </w:rPr>
      </w:pPr>
      <w:r>
        <w:rPr>
          <w:rFonts w:hint="eastAsia" w:hAnsi="宋体"/>
          <w:bCs/>
          <w:sz w:val="24"/>
          <w:szCs w:val="24"/>
        </w:rPr>
        <w:t>注：</w:t>
      </w:r>
    </w:p>
    <w:p>
      <w:pPr>
        <w:pStyle w:val="6"/>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6"/>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2"/>
        <w:rPr>
          <w:rFonts w:hint="default"/>
          <w:lang w:val="en-US" w:eastAsia="zh-CN"/>
        </w:rPr>
      </w:pPr>
    </w:p>
    <w:p>
      <w:pPr>
        <w:rPr>
          <w:rFonts w:hint="eastAsia" w:ascii="黑体" w:hAnsi="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60" w:name="_Toc24253"/>
      <w:bookmarkStart w:id="61" w:name="_Toc202820355"/>
      <w:bookmarkStart w:id="62" w:name="_Toc12992"/>
      <w:bookmarkStart w:id="63" w:name="_Toc29543"/>
      <w:bookmarkStart w:id="64" w:name="_Toc503427721"/>
      <w:bookmarkStart w:id="65" w:name="_Toc202817000"/>
      <w:bookmarkStart w:id="66" w:name="_Toc3330"/>
      <w:bookmarkStart w:id="67" w:name="_Toc202251078"/>
      <w:bookmarkStart w:id="68" w:name="_Toc202254108"/>
      <w:bookmarkStart w:id="69" w:name="_Toc21572"/>
      <w:bookmarkStart w:id="70" w:name="_Toc202252037"/>
      <w:bookmarkStart w:id="71" w:name="_Toc259090996"/>
      <w:bookmarkStart w:id="72" w:name="_Toc276645592"/>
      <w:bookmarkStart w:id="73" w:name="_Toc202251703"/>
      <w:bookmarkStart w:id="74" w:name="_Toc202819882"/>
      <w:r>
        <w:rPr>
          <w:rFonts w:hint="eastAsia" w:ascii="黑体" w:hAnsi="黑体" w:cs="黑体"/>
          <w:b/>
          <w:bCs w:val="0"/>
          <w:sz w:val="28"/>
          <w:szCs w:val="28"/>
          <w:lang w:val="en-US" w:eastAsia="zh-CN"/>
        </w:rPr>
        <w:br w:type="page"/>
      </w:r>
    </w:p>
    <w:p>
      <w:pPr>
        <w:pStyle w:val="5"/>
        <w:spacing w:before="100" w:after="100" w:line="360" w:lineRule="auto"/>
        <w:rPr>
          <w:rFonts w:hint="eastAsia" w:ascii="宋体" w:hAnsi="宋体" w:eastAsia="宋体"/>
          <w:sz w:val="28"/>
          <w:lang w:val="en-US" w:eastAsia="zh-CN"/>
        </w:rPr>
      </w:pPr>
      <w:bookmarkStart w:id="75" w:name="_Toc7304"/>
      <w:bookmarkStart w:id="76" w:name="_Toc5662"/>
      <w:bookmarkStart w:id="77" w:name="_Toc10726"/>
      <w:bookmarkStart w:id="78" w:name="_Toc5278"/>
      <w:bookmarkStart w:id="79" w:name="_Toc29470"/>
      <w:bookmarkStart w:id="80" w:name="_Toc2576"/>
      <w:bookmarkStart w:id="81" w:name="_Toc16860"/>
      <w:bookmarkStart w:id="82" w:name="_Toc24446"/>
      <w:bookmarkStart w:id="83" w:name="_Toc3193"/>
      <w:bookmarkStart w:id="84" w:name="_Toc30192"/>
      <w:bookmarkStart w:id="85" w:name="_Toc113"/>
      <w:bookmarkStart w:id="86" w:name="_Toc22499"/>
      <w:bookmarkStart w:id="87" w:name="_Toc500"/>
      <w:bookmarkStart w:id="88" w:name="_Toc32145"/>
      <w:bookmarkStart w:id="89" w:name="_Toc6669"/>
      <w:bookmarkStart w:id="90" w:name="_Toc9094"/>
      <w:r>
        <w:rPr>
          <w:rFonts w:hint="eastAsia" w:ascii="宋体" w:hAnsi="宋体" w:eastAsia="宋体"/>
          <w:sz w:val="28"/>
          <w:lang w:val="en-US" w:eastAsia="zh-CN"/>
        </w:rPr>
        <w:t>1.</w:t>
      </w:r>
      <w:r>
        <w:rPr>
          <w:rFonts w:hint="eastAsia" w:ascii="宋体" w:hAnsi="宋体"/>
          <w:sz w:val="28"/>
          <w:lang w:val="en-US" w:eastAsia="zh-CN"/>
        </w:rPr>
        <w:t>4</w:t>
      </w:r>
      <w:r>
        <w:rPr>
          <w:rFonts w:hint="eastAsia" w:ascii="宋体" w:hAnsi="宋体" w:eastAsia="宋体"/>
          <w:sz w:val="28"/>
          <w:lang w:val="en-US" w:eastAsia="zh-CN"/>
        </w:rPr>
        <w:t>.</w:t>
      </w:r>
      <w:bookmarkEnd w:id="75"/>
      <w:bookmarkEnd w:id="76"/>
      <w:bookmarkEnd w:id="77"/>
      <w:bookmarkStart w:id="91" w:name="_Toc17294"/>
      <w:bookmarkStart w:id="92" w:name="_Toc29247"/>
      <w:bookmarkStart w:id="93" w:name="_Toc28886"/>
      <w:r>
        <w:rPr>
          <w:rFonts w:hint="eastAsia" w:ascii="宋体" w:hAnsi="宋体"/>
          <w:sz w:val="28"/>
          <w:lang w:val="en-US" w:eastAsia="zh-CN"/>
        </w:rPr>
        <w:t>1</w:t>
      </w:r>
      <w:r>
        <w:rPr>
          <w:rFonts w:hint="eastAsia" w:ascii="宋体" w:hAnsi="宋体" w:eastAsia="宋体"/>
          <w:sz w:val="28"/>
          <w:lang w:val="en-US" w:eastAsia="zh-CN"/>
        </w:rPr>
        <w:t>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pPr>
        <w:numPr>
          <w:ilvl w:val="0"/>
          <w:numId w:val="0"/>
        </w:numPr>
        <w:rPr>
          <w:rFonts w:hint="eastAsia"/>
          <w:b/>
          <w:bCs/>
          <w:sz w:val="22"/>
          <w:szCs w:val="22"/>
          <w:lang w:val="en-US" w:eastAsia="zh-CN"/>
        </w:rPr>
      </w:pPr>
      <w:r>
        <w:rPr>
          <w:rFonts w:hint="eastAsia"/>
          <w:b/>
          <w:bCs/>
          <w:sz w:val="22"/>
          <w:szCs w:val="22"/>
          <w:lang w:val="en-US" w:eastAsia="zh-CN"/>
        </w:rPr>
        <w:t>未被列入“信用中国”网站(www.creditchina.gov.cn)“记录失信被执行人或重大税收违法失信主体”记录名单；若供应商为个体户，则需未被列入“国家企业信用信息公示系统”网站（www.gsxt.gov.cn）“经营异常或严重违法失信”记录名单证明文件</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5"/>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9"/>
                    <a:stretch>
                      <a:fillRect/>
                    </a:stretch>
                  </pic:blipFill>
                  <pic:spPr>
                    <a:xfrm>
                      <a:off x="0" y="0"/>
                      <a:ext cx="5270500" cy="6628130"/>
                    </a:xfrm>
                    <a:prstGeom prst="rect">
                      <a:avLst/>
                    </a:prstGeom>
                  </pic:spPr>
                </pic:pic>
              </a:graphicData>
            </a:graphic>
          </wp:inline>
        </w:drawing>
      </w:r>
    </w:p>
    <w:p>
      <w:pPr>
        <w:pStyle w:val="2"/>
        <w:rPr>
          <w:rFonts w:hint="eastAsia"/>
          <w:lang w:val="en-US" w:eastAsia="zh-CN"/>
        </w:rPr>
        <w:sectPr>
          <w:pgSz w:w="11906" w:h="16838"/>
          <w:pgMar w:top="1304" w:right="1531" w:bottom="1247" w:left="1531" w:header="851" w:footer="992" w:gutter="0"/>
          <w:cols w:space="425" w:num="1"/>
          <w:docGrid w:type="lines" w:linePitch="312" w:charSpace="0"/>
        </w:sectPr>
      </w:pPr>
    </w:p>
    <w:p>
      <w:pPr>
        <w:rPr>
          <w:rFonts w:hint="eastAsia"/>
          <w:lang w:val="en-US" w:eastAsia="zh-CN"/>
        </w:rPr>
      </w:pPr>
    </w:p>
    <w:p>
      <w:pPr>
        <w:pStyle w:val="4"/>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5"/>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pPr>
        <w:spacing w:line="360" w:lineRule="auto"/>
        <w:rPr>
          <w:rFonts w:hint="default" w:ascii="Times New Roman" w:hAnsi="Times New Roman" w:eastAsia="宋体" w:cs="Times New Roman"/>
          <w:color w:val="auto"/>
          <w:sz w:val="24"/>
          <w:szCs w:val="24"/>
        </w:rPr>
      </w:pPr>
      <w:permStart w:id="7" w:edGrp="everyone"/>
      <w:r>
        <w:rPr>
          <w:rFonts w:hint="eastAsia" w:cs="Times New Roman"/>
          <w:color w:val="auto"/>
          <w:sz w:val="24"/>
          <w:szCs w:val="24"/>
          <w:lang w:eastAsia="zh-CN"/>
        </w:rPr>
        <w:t>（</w:t>
      </w:r>
      <w:r>
        <w:rPr>
          <w:rFonts w:hint="eastAsia" w:cs="Times New Roman"/>
          <w:color w:val="auto"/>
          <w:sz w:val="24"/>
          <w:szCs w:val="24"/>
          <w:lang w:val="en-US" w:eastAsia="zh-CN"/>
        </w:rPr>
        <w:t>珠海正方公共资源运营有限公司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7"/>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8"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val="en-US" w:eastAsia="zh-CN"/>
        </w:rPr>
        <w:t>香山云道设备泵房（消防、排污泵故障维修）</w:t>
      </w:r>
      <w:r>
        <w:rPr>
          <w:rFonts w:hint="default" w:ascii="Times New Roman" w:hAnsi="Times New Roman" w:eastAsia="宋体" w:cs="Times New Roman"/>
          <w:bCs/>
          <w:color w:val="auto"/>
          <w:sz w:val="24"/>
          <w:szCs w:val="24"/>
          <w:u w:val="single"/>
          <w:lang w:val="en-US" w:eastAsia="zh-CN"/>
        </w:rPr>
        <w:t xml:space="preserve"> </w:t>
      </w:r>
      <w:permEnd w:id="8"/>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pPr>
        <w:spacing w:line="360" w:lineRule="auto"/>
        <w:rPr>
          <w:rFonts w:hint="default" w:ascii="Times New Roman" w:hAnsi="Times New Roman" w:eastAsia="宋体" w:cs="Times New Roman"/>
          <w:color w:val="auto"/>
          <w:sz w:val="28"/>
          <w:szCs w:val="28"/>
        </w:rPr>
      </w:pPr>
      <w:permStart w:id="9" w:edGrp="everyone"/>
      <w:r>
        <w:rPr>
          <w:rFonts w:hint="eastAsia" w:cs="Times New Roman"/>
          <w:color w:val="auto"/>
          <w:sz w:val="28"/>
          <w:szCs w:val="28"/>
          <w:lang w:eastAsia="zh-CN"/>
        </w:rPr>
        <w:t>（</w:t>
      </w:r>
      <w:r>
        <w:rPr>
          <w:rFonts w:hint="eastAsia" w:cs="Times New Roman"/>
          <w:color w:val="auto"/>
          <w:sz w:val="28"/>
          <w:szCs w:val="28"/>
          <w:lang w:val="en-US" w:eastAsia="zh-CN"/>
        </w:rPr>
        <w:t>珠海正方公共资源运营有限公司</w:t>
      </w:r>
      <w:r>
        <w:rPr>
          <w:rFonts w:hint="eastAsia" w:cs="Times New Roman"/>
          <w:color w:val="auto"/>
          <w:sz w:val="28"/>
          <w:szCs w:val="28"/>
          <w:lang w:eastAsia="zh-CN"/>
        </w:rPr>
        <w:t>）</w:t>
      </w:r>
      <w:r>
        <w:rPr>
          <w:rFonts w:hint="default" w:ascii="Times New Roman" w:hAnsi="Times New Roman" w:eastAsia="宋体" w:cs="Times New Roman"/>
          <w:color w:val="auto"/>
          <w:sz w:val="28"/>
          <w:szCs w:val="28"/>
        </w:rPr>
        <w:t>：</w:t>
      </w:r>
    </w:p>
    <w:permEnd w:id="9"/>
    <w:p>
      <w:pPr>
        <w:spacing w:line="360" w:lineRule="auto"/>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根据已收到的</w:t>
      </w:r>
      <w:r>
        <w:rPr>
          <w:rFonts w:hint="eastAsia" w:cs="Times New Roman"/>
          <w:color w:val="auto"/>
          <w:sz w:val="28"/>
          <w:szCs w:val="28"/>
          <w:lang w:val="en-US" w:eastAsia="zh-CN"/>
        </w:rPr>
        <w:t>香山云道设备泵房（消防、排污泵故障维修）</w:t>
      </w:r>
      <w:r>
        <w:rPr>
          <w:rFonts w:hint="default" w:ascii="Times New Roman" w:hAnsi="Times New Roman" w:eastAsia="宋体" w:cs="Times New Roman"/>
          <w:color w:val="auto"/>
          <w:sz w:val="28"/>
          <w:szCs w:val="28"/>
        </w:rPr>
        <w:t>的询价文件，根据有关法律、法规、规章规定，我单位经研究上述询价文件和其他相关文件后，愿意接受询价文件的全部内容和条件，并承诺按总价人民币大写：     元 （¥          元）承接</w:t>
      </w:r>
      <w:permStart w:id="10" w:edGrp="everyone"/>
      <w:r>
        <w:rPr>
          <w:rFonts w:hint="eastAsia" w:cs="Times New Roman"/>
          <w:color w:val="auto"/>
          <w:sz w:val="28"/>
          <w:szCs w:val="28"/>
          <w:lang w:eastAsia="zh-CN"/>
        </w:rPr>
        <w:t>（</w:t>
      </w:r>
      <w:r>
        <w:rPr>
          <w:rFonts w:hint="eastAsia" w:cs="Times New Roman"/>
          <w:color w:val="auto"/>
          <w:sz w:val="28"/>
          <w:szCs w:val="28"/>
          <w:lang w:val="en-US" w:eastAsia="zh-CN"/>
        </w:rPr>
        <w:t>香山云道设备泵房（消防、排污泵故障维修）</w:t>
      </w:r>
      <w:r>
        <w:rPr>
          <w:rFonts w:hint="eastAsia" w:cs="Times New Roman"/>
          <w:color w:val="auto"/>
          <w:sz w:val="28"/>
          <w:szCs w:val="28"/>
          <w:lang w:eastAsia="zh-CN"/>
        </w:rPr>
        <w:t>）</w:t>
      </w:r>
      <w:r>
        <w:rPr>
          <w:rFonts w:hint="default" w:ascii="Times New Roman" w:hAnsi="Times New Roman" w:eastAsia="宋体" w:cs="Times New Roman"/>
          <w:color w:val="auto"/>
          <w:sz w:val="28"/>
          <w:szCs w:val="28"/>
          <w:lang w:val="en-US" w:eastAsia="zh-CN"/>
        </w:rPr>
        <w:t xml:space="preserve"> </w:t>
      </w:r>
      <w:permEnd w:id="10"/>
      <w:r>
        <w:rPr>
          <w:rFonts w:hint="default" w:ascii="Times New Roman" w:hAnsi="Times New Roman" w:eastAsia="宋体" w:cs="Times New Roman"/>
          <w:color w:val="auto"/>
          <w:sz w:val="28"/>
          <w:szCs w:val="28"/>
        </w:rPr>
        <w:t>项目</w:t>
      </w:r>
      <w:r>
        <w:rPr>
          <w:rFonts w:hint="eastAsia" w:cs="Times New Roman"/>
          <w:color w:val="auto"/>
          <w:sz w:val="28"/>
          <w:szCs w:val="28"/>
          <w:lang w:eastAsia="zh-CN"/>
        </w:rPr>
        <w:t>，</w:t>
      </w:r>
      <w:r>
        <w:rPr>
          <w:rFonts w:hint="eastAsia" w:cs="Times New Roman"/>
          <w:color w:val="auto"/>
          <w:sz w:val="28"/>
          <w:szCs w:val="28"/>
          <w:lang w:val="en-US" w:eastAsia="zh-CN"/>
        </w:rPr>
        <w:t>具体详见下表：</w:t>
      </w:r>
    </w:p>
    <w:tbl>
      <w:tblPr>
        <w:tblStyle w:val="14"/>
        <w:tblW w:w="9496" w:type="dxa"/>
        <w:tblInd w:w="-2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6"/>
        <w:gridCol w:w="1336"/>
        <w:gridCol w:w="2091"/>
        <w:gridCol w:w="825"/>
        <w:gridCol w:w="900"/>
        <w:gridCol w:w="1140"/>
        <w:gridCol w:w="1140"/>
        <w:gridCol w:w="13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rPr>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33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项目名称</w:t>
            </w: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项目特征描述</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数</w:t>
            </w:r>
            <w:r>
              <w:rPr>
                <w:rFonts w:hint="eastAsia" w:ascii="宋体" w:hAnsi="宋体" w:eastAsia="宋体" w:cs="宋体"/>
                <w:b/>
                <w:i w:val="0"/>
                <w:color w:val="000000"/>
                <w:kern w:val="0"/>
                <w:sz w:val="24"/>
                <w:szCs w:val="24"/>
                <w:u w:val="none"/>
                <w:lang w:val="en-US" w:eastAsia="zh-CN" w:bidi="ar"/>
              </w:rPr>
              <w:t>量</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金额（元） </w:t>
            </w:r>
          </w:p>
        </w:tc>
        <w:tc>
          <w:tcPr>
            <w:tcW w:w="1348"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rPr>
        <w:tc>
          <w:tcPr>
            <w:tcW w:w="71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33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2091"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900"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140" w:type="dxa"/>
            <w:tcBorders>
              <w:top w:val="single" w:color="000000" w:sz="4" w:space="0"/>
              <w:left w:val="single" w:color="000000" w:sz="4" w:space="0"/>
              <w:bottom w:val="single" w:color="auto"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单价 </w:t>
            </w:r>
          </w:p>
        </w:tc>
        <w:tc>
          <w:tcPr>
            <w:tcW w:w="1140" w:type="dxa"/>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合价 </w:t>
            </w:r>
          </w:p>
        </w:tc>
        <w:tc>
          <w:tcPr>
            <w:tcW w:w="1348" w:type="dxa"/>
            <w:vMerge w:val="continue"/>
            <w:tcBorders>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鸡山泵房消防主泵</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线圈受潮、烘干处理、绝缘检测 18.KW</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34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鸡山泵房消防稳压泵</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线圈烧坏重绕线圈、更换轴承5.5KW</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34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质保 1 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华南名宇泵房排污水泵</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漏电、更换380v 2.2KW 扬程18M 流量20 DN80</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34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品使用不锈钢切割刀片，质保 1 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华南名宇房生活泵增压泵</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电机异响 更换轴承2.2KW</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34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质保 1 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南门泵房生活泵增压泵</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电机异响 更换轴承2.2KW</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台</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34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质保 1 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6</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驿站泵房生活泵增压泵</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电机异响 更换轴承2.2KW</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台</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34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质保 1 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22"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7</w:t>
            </w:r>
          </w:p>
        </w:tc>
        <w:tc>
          <w:tcPr>
            <w:tcW w:w="6292" w:type="dxa"/>
            <w:gridSpan w:val="5"/>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合计（元）</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34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46" w:hRule="atLeast"/>
        </w:trPr>
        <w:tc>
          <w:tcPr>
            <w:tcW w:w="9496" w:type="dxa"/>
            <w:gridSpan w:val="8"/>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注：</w:t>
            </w:r>
            <w:r>
              <w:rPr>
                <w:rFonts w:hint="eastAsia" w:ascii="宋体" w:hAnsi="宋体" w:eastAsia="宋体" w:cs="宋体"/>
                <w:color w:val="auto"/>
                <w:sz w:val="22"/>
                <w:szCs w:val="22"/>
                <w:lang w:val="en-US" w:eastAsia="zh-CN"/>
              </w:rPr>
              <w:t>1</w:t>
            </w:r>
            <w:r>
              <w:rPr>
                <w:rFonts w:hint="eastAsia" w:ascii="宋体" w:hAnsi="宋体" w:cs="宋体"/>
                <w:color w:val="auto"/>
                <w:sz w:val="22"/>
                <w:szCs w:val="22"/>
                <w:lang w:val="en-US" w:eastAsia="zh-CN"/>
              </w:rPr>
              <w:t>.</w:t>
            </w:r>
            <w:r>
              <w:rPr>
                <w:rFonts w:hint="eastAsia" w:ascii="宋体" w:hAnsi="宋体" w:eastAsia="宋体" w:cs="宋体"/>
                <w:color w:val="auto"/>
                <w:sz w:val="22"/>
                <w:szCs w:val="22"/>
              </w:rPr>
              <w:t>所有报价均为含税价，且已包含人工费、材料费、交通差旅费、餐饮费、运费等完成本项目的所有费用。所有报价金额均保留2位小数</w:t>
            </w:r>
            <w:r>
              <w:rPr>
                <w:rFonts w:hint="eastAsia" w:ascii="宋体" w:hAnsi="宋体" w:cs="宋体"/>
                <w:color w:val="auto"/>
                <w:sz w:val="22"/>
                <w:szCs w:val="22"/>
                <w:lang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yellow"/>
                <w:lang w:val="en-US" w:eastAsia="zh-CN"/>
              </w:rPr>
              <w:t>2.</w:t>
            </w:r>
            <w:r>
              <w:rPr>
                <w:rFonts w:hint="eastAsia" w:ascii="宋体" w:hAnsi="宋体" w:eastAsia="宋体" w:cs="宋体"/>
                <w:color w:val="auto"/>
                <w:sz w:val="22"/>
                <w:szCs w:val="22"/>
                <w:highlight w:val="yellow"/>
                <w:lang w:val="en-US" w:eastAsia="zh-CN"/>
              </w:rPr>
              <w:t>发票类型</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u w:val="none"/>
              </w:rPr>
              <w:t>%</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w:t>
            </w:r>
            <w:r>
              <w:rPr>
                <w:rFonts w:hint="eastAsia" w:ascii="宋体" w:hAnsi="宋体" w:eastAsia="宋体" w:cs="宋体"/>
                <w:color w:val="auto"/>
                <w:sz w:val="22"/>
                <w:szCs w:val="22"/>
              </w:rPr>
              <w:t>专用发票</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增值税普通发票</w:t>
            </w:r>
            <w:r>
              <w:rPr>
                <w:rFonts w:hint="eastAsia" w:ascii="宋体" w:hAnsi="宋体" w:cs="宋体"/>
                <w:color w:val="auto"/>
                <w:sz w:val="22"/>
                <w:szCs w:val="22"/>
                <w:lang w:val="en-US"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注：如因国家政策变化导致增值税税率发生变化的，本</w:t>
            </w:r>
            <w:r>
              <w:rPr>
                <w:rFonts w:hint="eastAsia" w:ascii="宋体" w:hAnsi="宋体" w:eastAsia="宋体" w:cs="宋体"/>
                <w:color w:val="auto"/>
                <w:sz w:val="22"/>
                <w:szCs w:val="22"/>
                <w:highlight w:val="none"/>
                <w:lang w:val="en-US" w:eastAsia="zh-CN"/>
              </w:rPr>
              <w:t>项目</w:t>
            </w:r>
            <w:r>
              <w:rPr>
                <w:rFonts w:hint="eastAsia" w:ascii="宋体" w:hAnsi="宋体" w:eastAsia="宋体" w:cs="宋体"/>
                <w:color w:val="auto"/>
                <w:sz w:val="22"/>
                <w:szCs w:val="22"/>
                <w:highlight w:val="none"/>
              </w:rPr>
              <w:t>项下不含增值税的价款金额不变，对应增值税金额按照新税率计算，价款总额作对应调整</w:t>
            </w:r>
            <w:r>
              <w:rPr>
                <w:rFonts w:hint="eastAsia" w:ascii="宋体" w:hAnsi="宋体" w:cs="宋体"/>
                <w:color w:val="auto"/>
                <w:sz w:val="22"/>
                <w:szCs w:val="22"/>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lang w:eastAsia="zh-CN"/>
              </w:rPr>
            </w:pPr>
            <w:r>
              <w:rPr>
                <w:rFonts w:hint="eastAsia" w:ascii="宋体" w:hAnsi="宋体" w:eastAsia="宋体" w:cs="宋体"/>
                <w:color w:val="auto"/>
                <w:kern w:val="0"/>
                <w:sz w:val="22"/>
                <w:szCs w:val="22"/>
                <w:lang w:val="en-US" w:eastAsia="zh-CN" w:bidi="ar-SA"/>
              </w:rPr>
              <w:t>3.质量标准：合格，符合相关要求及规定</w:t>
            </w:r>
            <w:r>
              <w:rPr>
                <w:rFonts w:hint="eastAsia" w:ascii="宋体" w:hAnsi="宋体" w:cs="宋体"/>
                <w:color w:val="auto"/>
                <w:kern w:val="0"/>
                <w:sz w:val="22"/>
                <w:szCs w:val="22"/>
                <w:lang w:val="en-US" w:eastAsia="zh-CN" w:bidi="ar-SA"/>
              </w:rPr>
              <w:t>；按GB/T21205-2022旋转电机 修理和修复、 GB 50303-2015建筑电气工程施工质量验收规范；</w:t>
            </w:r>
          </w:p>
          <w:p>
            <w:pPr>
              <w:pStyle w:val="6"/>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i w:val="0"/>
                <w:color w:val="000000"/>
                <w:kern w:val="0"/>
                <w:sz w:val="24"/>
                <w:szCs w:val="24"/>
                <w:u w:val="none"/>
                <w:lang w:val="en-US" w:eastAsia="zh-CN" w:bidi="ar"/>
              </w:rPr>
            </w:pPr>
            <w:r>
              <w:rPr>
                <w:rFonts w:hint="eastAsia" w:hAnsi="宋体" w:cs="宋体"/>
                <w:color w:val="auto"/>
                <w:sz w:val="22"/>
                <w:szCs w:val="22"/>
                <w:lang w:val="en-US" w:eastAsia="zh-CN"/>
              </w:rPr>
              <w:t>4.</w:t>
            </w:r>
            <w:r>
              <w:rPr>
                <w:rFonts w:hint="eastAsia" w:ascii="宋体" w:hAnsi="宋体" w:eastAsia="宋体" w:cs="宋体"/>
                <w:color w:val="auto"/>
                <w:sz w:val="22"/>
                <w:szCs w:val="22"/>
                <w:lang w:val="en-US" w:eastAsia="zh-CN"/>
              </w:rPr>
              <w:t>本次采购数量为预估量，</w:t>
            </w:r>
            <w:r>
              <w:rPr>
                <w:rFonts w:hint="eastAsia" w:hAnsi="宋体" w:cs="宋体"/>
                <w:color w:val="auto"/>
                <w:sz w:val="22"/>
                <w:szCs w:val="22"/>
                <w:lang w:val="en-US" w:eastAsia="zh-CN"/>
              </w:rPr>
              <w:t>据实结算</w:t>
            </w:r>
            <w:r>
              <w:rPr>
                <w:rFonts w:hint="eastAsia" w:ascii="宋体" w:hAnsi="宋体" w:eastAsia="宋体" w:cs="宋体"/>
                <w:color w:val="auto"/>
                <w:sz w:val="22"/>
                <w:szCs w:val="22"/>
                <w:lang w:val="en-US" w:eastAsia="zh-CN"/>
              </w:rPr>
              <w:t>，</w:t>
            </w:r>
            <w:r>
              <w:rPr>
                <w:rFonts w:hint="eastAsia" w:hAnsi="宋体" w:cs="宋体"/>
                <w:color w:val="auto"/>
                <w:sz w:val="22"/>
                <w:szCs w:val="22"/>
                <w:lang w:val="en-US" w:eastAsia="zh-CN"/>
              </w:rPr>
              <w:t>联系人：陈石兴 13825647186</w:t>
            </w:r>
            <w:r>
              <w:rPr>
                <w:rFonts w:hint="eastAsia" w:ascii="宋体" w:hAnsi="宋体" w:eastAsia="宋体" w:cs="宋体"/>
                <w:color w:val="auto"/>
                <w:sz w:val="22"/>
                <w:szCs w:val="22"/>
                <w:lang w:val="en-US" w:eastAsia="zh-CN"/>
              </w:rPr>
              <w:t>。</w:t>
            </w:r>
          </w:p>
        </w:tc>
      </w:tr>
    </w:tbl>
    <w:p>
      <w:pPr>
        <w:pStyle w:val="19"/>
        <w:rPr>
          <w:rFonts w:hint="default" w:ascii="Times New Roman" w:hAnsi="Times New Roman" w:eastAsia="宋体" w:cs="Times New Roman"/>
          <w:color w:val="auto"/>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联系方式</w:t>
      </w:r>
      <w:r>
        <w:rPr>
          <w:rFonts w:hint="eastAsia" w:cs="Times New Roman"/>
          <w:color w:val="auto"/>
          <w:kern w:val="2"/>
          <w:sz w:val="24"/>
          <w:szCs w:val="24"/>
          <w:lang w:val="en-US" w:eastAsia="zh-CN" w:bidi="ar-SA"/>
        </w:rPr>
        <w:t>：</w:t>
      </w:r>
    </w:p>
    <w:p>
      <w:pPr>
        <w:autoSpaceDE w:val="0"/>
        <w:autoSpaceDN w:val="0"/>
        <w:spacing w:before="312" w:beforeLines="100" w:line="360" w:lineRule="auto"/>
        <w:jc w:val="left"/>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sectPr>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8BD52"/>
    <w:multiLevelType w:val="singleLevel"/>
    <w:tmpl w:val="B438BD52"/>
    <w:lvl w:ilvl="0" w:tentative="0">
      <w:start w:val="1"/>
      <w:numFmt w:val="chineseCounting"/>
      <w:suff w:val="nothing"/>
      <w:lvlText w:val="%1、"/>
      <w:lvlJc w:val="left"/>
      <w:rPr>
        <w:rFonts w:hint="eastAsia"/>
      </w:rPr>
    </w:lvl>
  </w:abstractNum>
  <w:abstractNum w:abstractNumId="1">
    <w:nsid w:val="C872BA49"/>
    <w:multiLevelType w:val="singleLevel"/>
    <w:tmpl w:val="C872BA49"/>
    <w:lvl w:ilvl="0" w:tentative="0">
      <w:start w:val="2"/>
      <w:numFmt w:val="chineseCounting"/>
      <w:suff w:val="space"/>
      <w:lvlText w:val="第%1部分"/>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DC73BB"/>
    <w:rsid w:val="14EB65E0"/>
    <w:rsid w:val="152F1187"/>
    <w:rsid w:val="1588048B"/>
    <w:rsid w:val="168857E4"/>
    <w:rsid w:val="16D97ADD"/>
    <w:rsid w:val="16E45AEB"/>
    <w:rsid w:val="177F1319"/>
    <w:rsid w:val="17DF53E0"/>
    <w:rsid w:val="1B013FAA"/>
    <w:rsid w:val="1B513E4B"/>
    <w:rsid w:val="1BDC56E2"/>
    <w:rsid w:val="1C186A2A"/>
    <w:rsid w:val="1D556636"/>
    <w:rsid w:val="1DCE44E0"/>
    <w:rsid w:val="202F7D49"/>
    <w:rsid w:val="210322A7"/>
    <w:rsid w:val="2121293A"/>
    <w:rsid w:val="2288477C"/>
    <w:rsid w:val="23EC6A93"/>
    <w:rsid w:val="24957E2A"/>
    <w:rsid w:val="259F18F8"/>
    <w:rsid w:val="26497039"/>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3DB0A5C"/>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FA2D39"/>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C64570"/>
    <w:rsid w:val="5B7B0426"/>
    <w:rsid w:val="5BD82D7C"/>
    <w:rsid w:val="5BE44C27"/>
    <w:rsid w:val="5BFB7194"/>
    <w:rsid w:val="5D497B32"/>
    <w:rsid w:val="5EBE23CD"/>
    <w:rsid w:val="617E685D"/>
    <w:rsid w:val="61A2602F"/>
    <w:rsid w:val="61FF0F78"/>
    <w:rsid w:val="63A6159C"/>
    <w:rsid w:val="63F16E5E"/>
    <w:rsid w:val="64847D61"/>
    <w:rsid w:val="665C30B6"/>
    <w:rsid w:val="66852B3E"/>
    <w:rsid w:val="67183BE9"/>
    <w:rsid w:val="67DE23FD"/>
    <w:rsid w:val="682078ED"/>
    <w:rsid w:val="68B65BF9"/>
    <w:rsid w:val="6A0D3F8C"/>
    <w:rsid w:val="6A934041"/>
    <w:rsid w:val="6B4E5816"/>
    <w:rsid w:val="6BB9773A"/>
    <w:rsid w:val="6CD54EA3"/>
    <w:rsid w:val="6D535020"/>
    <w:rsid w:val="73CF0EC4"/>
    <w:rsid w:val="75086565"/>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2"/>
    <w:qFormat/>
    <w:uiPriority w:val="0"/>
    <w:pPr>
      <w:spacing w:line="480" w:lineRule="exact"/>
      <w:jc w:val="left"/>
    </w:pPr>
    <w:rPr>
      <w:rFonts w:ascii="宋体" w:hAnsi="宋体"/>
    </w:rPr>
  </w:style>
  <w:style w:type="paragraph" w:styleId="8">
    <w:name w:val="Body Text Indent"/>
    <w:basedOn w:val="1"/>
    <w:link w:val="25"/>
    <w:unhideWhenUsed/>
    <w:qFormat/>
    <w:uiPriority w:val="0"/>
    <w:pPr>
      <w:spacing w:after="120"/>
      <w:ind w:left="420" w:leftChars="200"/>
    </w:pPr>
  </w:style>
  <w:style w:type="paragraph" w:styleId="9">
    <w:name w:val="Plain Text"/>
    <w:basedOn w:val="1"/>
    <w:link w:val="30"/>
    <w:qFormat/>
    <w:uiPriority w:val="0"/>
    <w:pPr>
      <w:spacing w:line="360" w:lineRule="auto"/>
      <w:ind w:firstLine="510"/>
    </w:pPr>
    <w:rPr>
      <w:rFonts w:ascii="宋体" w:hAnsi="Courier New" w:eastAsia="仿宋_GB2312"/>
      <w:sz w:val="24"/>
      <w:szCs w:val="20"/>
    </w:rPr>
  </w:style>
  <w:style w:type="paragraph" w:styleId="10">
    <w:name w:val="Balloon Text"/>
    <w:basedOn w:val="1"/>
    <w:link w:val="27"/>
    <w:qFormat/>
    <w:uiPriority w:val="0"/>
    <w:rPr>
      <w:sz w:val="18"/>
      <w:szCs w:val="18"/>
    </w:rPr>
  </w:style>
  <w:style w:type="paragraph" w:styleId="11">
    <w:name w:val="footer"/>
    <w:basedOn w:val="1"/>
    <w:link w:val="21"/>
    <w:qFormat/>
    <w:uiPriority w:val="99"/>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29"/>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6"/>
    <w:link w:val="12"/>
    <w:qFormat/>
    <w:uiPriority w:val="0"/>
    <w:rPr>
      <w:kern w:val="2"/>
      <w:sz w:val="18"/>
      <w:szCs w:val="18"/>
    </w:rPr>
  </w:style>
  <w:style w:type="character" w:customStyle="1" w:styleId="21">
    <w:name w:val="页脚 字符"/>
    <w:basedOn w:val="16"/>
    <w:link w:val="11"/>
    <w:qFormat/>
    <w:uiPriority w:val="99"/>
    <w:rPr>
      <w:kern w:val="2"/>
      <w:sz w:val="18"/>
      <w:szCs w:val="18"/>
    </w:rPr>
  </w:style>
  <w:style w:type="character" w:customStyle="1" w:styleId="22">
    <w:name w:val="正文文本 字符"/>
    <w:basedOn w:val="16"/>
    <w:link w:val="7"/>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6"/>
    <w:link w:val="8"/>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6"/>
    <w:link w:val="10"/>
    <w:qFormat/>
    <w:uiPriority w:val="0"/>
    <w:rPr>
      <w:kern w:val="2"/>
      <w:sz w:val="18"/>
      <w:szCs w:val="18"/>
    </w:rPr>
  </w:style>
  <w:style w:type="character" w:customStyle="1" w:styleId="28">
    <w:name w:val="标题 1 字符"/>
    <w:basedOn w:val="16"/>
    <w:link w:val="3"/>
    <w:qFormat/>
    <w:uiPriority w:val="0"/>
    <w:rPr>
      <w:b/>
      <w:bCs/>
      <w:kern w:val="44"/>
      <w:sz w:val="44"/>
      <w:szCs w:val="44"/>
    </w:rPr>
  </w:style>
  <w:style w:type="character" w:customStyle="1" w:styleId="29">
    <w:name w:val="正文文本首行缩进 字符"/>
    <w:basedOn w:val="22"/>
    <w:link w:val="13"/>
    <w:semiHidden/>
    <w:qFormat/>
    <w:uiPriority w:val="0"/>
    <w:rPr>
      <w:rFonts w:ascii="宋体" w:hAnsi="宋体"/>
      <w:kern w:val="2"/>
      <w:sz w:val="21"/>
      <w:szCs w:val="24"/>
    </w:rPr>
  </w:style>
  <w:style w:type="character" w:customStyle="1" w:styleId="30">
    <w:name w:val="纯文本 字符"/>
    <w:link w:val="9"/>
    <w:qFormat/>
    <w:uiPriority w:val="0"/>
    <w:rPr>
      <w:rFonts w:ascii="宋体" w:hAnsi="Courier New" w:eastAsia="仿宋_GB2312"/>
      <w:kern w:val="2"/>
      <w:sz w:val="24"/>
    </w:rPr>
  </w:style>
  <w:style w:type="character" w:customStyle="1" w:styleId="31">
    <w:name w:val="font31"/>
    <w:basedOn w:val="16"/>
    <w:qFormat/>
    <w:uiPriority w:val="0"/>
    <w:rPr>
      <w:rFonts w:hint="eastAsia" w:ascii="宋体" w:hAnsi="宋体" w:eastAsia="宋体" w:cs="宋体"/>
      <w:b/>
      <w:color w:val="000000"/>
      <w:sz w:val="14"/>
      <w:szCs w:val="14"/>
      <w:u w:val="none"/>
    </w:rPr>
  </w:style>
  <w:style w:type="character" w:customStyle="1" w:styleId="32">
    <w:name w:val="font01"/>
    <w:basedOn w:val="16"/>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5</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2026-09-16T10:32:51Z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