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796E9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城市阳台北区小集市用电改造工程</w:t>
      </w:r>
    </w:p>
    <w:p w14:paraId="398302F1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招</w:t>
      </w:r>
    </w:p>
    <w:p w14:paraId="736F75F2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标</w:t>
      </w:r>
    </w:p>
    <w:p w14:paraId="3F12D799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技</w:t>
      </w:r>
    </w:p>
    <w:p w14:paraId="40084DA3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术</w:t>
      </w:r>
    </w:p>
    <w:p w14:paraId="13E1137F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任</w:t>
      </w:r>
    </w:p>
    <w:p w14:paraId="7B76C1DD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务</w:t>
      </w:r>
    </w:p>
    <w:p w14:paraId="3C42F055"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书</w:t>
      </w:r>
    </w:p>
    <w:p w14:paraId="351513A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72D18A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A64A8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5864D0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编制人：________________</w:t>
      </w:r>
    </w:p>
    <w:p w14:paraId="1797654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701604F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72CD8B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审核人：________________</w:t>
      </w:r>
    </w:p>
    <w:p w14:paraId="6EDD903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A61D02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7A750E5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6AF12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珠海市正方海滨泳场管理服务有限公司</w:t>
      </w:r>
    </w:p>
    <w:p w14:paraId="26B0E4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8AEF70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B6F32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2540E6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CDE46C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123331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说 明</w:t>
      </w:r>
    </w:p>
    <w:p w14:paraId="7368635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本技术任务书针对城市阳台北区小集市用电改造工程编制，本任务书未明确说明的工作内容、技术标准，须与城市阳台项目部协商确定。</w:t>
      </w:r>
    </w:p>
    <w:p w14:paraId="62DED5E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6B470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728FE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789396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A78FDD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1A888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1E2FF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DFD977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1068FE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20B226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B3E1C2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71B0E8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1F49E0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440EB07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05BDDE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84B70E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FA51F9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35517E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0D63B8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5BCA06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4394783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E5D082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6F7A4D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1DC137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C10DA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一、项目概况</w:t>
      </w:r>
    </w:p>
    <w:p w14:paraId="0CCE6D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1.项目名称：城市阳台北区小集市用电改造工程</w:t>
      </w:r>
    </w:p>
    <w:p w14:paraId="7222FC2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2.项目地址：珠海市正方优和汇·城市阳台（北区小集市）</w:t>
      </w:r>
    </w:p>
    <w:p w14:paraId="75808F8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3.项目背景：</w:t>
      </w:r>
    </w:p>
    <w:p w14:paraId="7753FD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现有商户用电负荷约20kW，现状供电回路不满足合规使用要求，需实施用电系统改造，将商户用电从消防风机电箱剥离，从配电房重新接引独立供电回路，保障消防供电系统安全可靠，同时满足北区小集市商户日常经营用电需求。</w:t>
      </w:r>
    </w:p>
    <w:p w14:paraId="752AF2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4.施工原则：</w:t>
      </w:r>
    </w:p>
    <w:p w14:paraId="0C5943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优先采取错峰施工，尽量避开集市经营客流高峰时段，减少对商户正常经营的干扰；施工期间做好现场隔离、警示防护，保障集市人员通行安全。每日施工结束后做好现场防护，恢复通行条件。</w:t>
      </w:r>
    </w:p>
    <w:p w14:paraId="0B62F92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B72137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DDA4F5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二、改造范围及技术要求</w:t>
      </w:r>
    </w:p>
    <w:p w14:paraId="5D9D90B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（一）整体改造内容</w:t>
      </w:r>
    </w:p>
    <w:p w14:paraId="2D9D1F8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包含：配电房电源点位接引、电力电缆采购敷设、钢管保护管采购安装、新增户外动力配电箱安装、线路接线调试、接地系统施工、标识标牌制作安装、原有消防风机电箱违规接驳线路拆除、现场管线规整、垃圾清运、系统调试、试验检测、竣工验收等全部工作内容。</w:t>
      </w:r>
    </w:p>
    <w:p w14:paraId="675BC5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D0C625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（二）设备材料技术参数要求</w:t>
      </w:r>
    </w:p>
    <w:p w14:paraId="072EBD2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1.电力电缆：采用YJV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noBreakHyphen/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0.6/1kV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noBreakHyphen/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5×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3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5mm²铜芯交联聚乙烯绝缘电力电缆，电缆长度约200米；电缆为全新原厂正品，具备合格证、3C认证，导体截面达标，绝缘层无破损，满足载流量要求。</w:t>
      </w:r>
    </w:p>
    <w:p w14:paraId="7610E95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2.保护钢管：采用DN50热镀锌焊接钢管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或100*50桥架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，长度约190米；钢管壁厚满足规范，防腐镀层完好，明敷安装，配套管接头、接线盒、固定支架、接地跨接件。其中包含高空作业敷设管线约150米。</w:t>
      </w:r>
    </w:p>
    <w:p w14:paraId="2D35C59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3.户外动力配电箱：户外防雨型箱体，防护等级不低于IP54；箱内配置总开关、分路断路器、计量接入端子、接地排、零排</w:t>
      </w:r>
      <w:r>
        <w:rPr>
          <w:rStyle w:val="7"/>
          <w:rFonts w:hint="eastAsia" w:ascii="Consolas" w:hAnsi="Consolas" w:cs="Consolas"/>
          <w:sz w:val="24"/>
          <w:szCs w:val="24"/>
          <w:lang w:eastAsia="zh-CN"/>
        </w:rPr>
        <w:t>、</w:t>
      </w:r>
      <w:r>
        <w:rPr>
          <w:rStyle w:val="7"/>
          <w:rFonts w:hint="eastAsia" w:ascii="Consolas" w:hAnsi="Consolas" w:cs="Consolas"/>
          <w:b/>
          <w:bCs/>
          <w:sz w:val="24"/>
          <w:szCs w:val="24"/>
          <w:lang w:val="en-US" w:eastAsia="zh-CN"/>
        </w:rPr>
        <w:t>消防强切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；元器件选用国内知名品牌，开关分断能力满足负荷要求，箱体做防腐防锈处理，箱门带锁，张贴有电危险警示标识。</w:t>
      </w:r>
    </w:p>
    <w:p w14:paraId="5E89957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4.辅材：接地扁铁、膨胀螺栓、支架、绝缘胶带、线号管、电缆标识牌等全部辅材均为全新合格产品。</w:t>
      </w:r>
    </w:p>
    <w:p w14:paraId="143632E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9F897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（三）安装施工技术要求</w:t>
      </w:r>
    </w:p>
    <w:p w14:paraId="065B70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1.电源从项目配电房合规供电回路接引，严禁再接入消防风机、消防泵等消防专用供电回路。</w:t>
      </w:r>
    </w:p>
    <w:p w14:paraId="63DAFBA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2.敷设YJV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noBreakHyphen/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5×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3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5电缆约200m，穿DN50热镀锌钢管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或线槽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约190m明敷，完成约150米高空管线架设作业；管线排布横平竖直，支架固定牢固，钢管之间做好电气跨接接地。</w:t>
      </w:r>
    </w:p>
    <w:p w14:paraId="31532FD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3.在北区小集市合适位置安装户外防雨动力配电箱，完成电缆接入、回路分配；箱内布线整齐，线号标识清晰完整。</w:t>
      </w:r>
    </w:p>
    <w:p w14:paraId="7ADD5EA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4.彻底拆除原有从小集市商户接驳至消防风机配电箱的违规线缆，恢复消防风机电箱原有接线状态，保障消防风机供电回路独立完整。</w:t>
      </w:r>
    </w:p>
    <w:p w14:paraId="034924B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5.系统设置可靠保护接地，箱体、金属保护管全部可靠接地；完成绝缘电阻测试、通电调试，确保供电稳定。</w:t>
      </w:r>
    </w:p>
    <w:p w14:paraId="0071E6A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6.所有线缆、配电箱设置永久性标识牌，标注回路名称、用途。</w:t>
      </w:r>
    </w:p>
    <w:p w14:paraId="4EDD0A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7.施工完成后清理现场，施工垃圾当日清运出场。</w:t>
      </w:r>
    </w:p>
    <w:p w14:paraId="313A157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96442A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（四）现场施工要求</w:t>
      </w:r>
    </w:p>
    <w:p w14:paraId="71105D1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1.施工前编制专项施工方案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及</w:t>
      </w:r>
      <w:r>
        <w:rPr>
          <w:rStyle w:val="7"/>
          <w:rFonts w:hint="eastAsia" w:ascii="Consolas" w:hAnsi="Consolas" w:cs="Consolas"/>
          <w:b/>
          <w:bCs/>
          <w:sz w:val="24"/>
          <w:szCs w:val="24"/>
          <w:lang w:val="en-US" w:eastAsia="zh-CN"/>
        </w:rPr>
        <w:t>施工图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供甲方审核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，做好安全技术交底；高空作业人员配备齐全安全防护用品，落实高空防坠落措施。</w:t>
      </w:r>
    </w:p>
    <w:p w14:paraId="4571A5F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2.施工区域设置围挡、安全警示，做好隔离防护，减少对集市商户经营、游客通行影响；必要时段分区作业。</w:t>
      </w:r>
    </w:p>
    <w:p w14:paraId="76DAA1D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3.施工全过程接受甲方工程部现场监督、协调管理，服从项目现场各项管理制度。</w:t>
      </w:r>
    </w:p>
    <w:p w14:paraId="4B83BD5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4.施工过程做好成品保护，不得损坏周边既有建筑、设施设备。</w:t>
      </w:r>
    </w:p>
    <w:p w14:paraId="3C204FC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5.每日收工前做好现场安全检查，断电确认，消除现场安全隐患。</w:t>
      </w:r>
    </w:p>
    <w:p w14:paraId="00631B0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6E9238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8C2380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三、工期要求</w:t>
      </w:r>
    </w:p>
    <w:p w14:paraId="4804129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自中标单位确定之日起，总工期1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5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日历天，完成全部材料进场、管线敷设、设备安装、接线调试、现场清理及竣工验收。</w:t>
      </w:r>
    </w:p>
    <w:p w14:paraId="224575E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若涉及样品确认，样品确认时间不计入总工期；中标单位提交设备材料样品，经甲方确认后方可进场施工。施工过程中应尽量降低对小集市商户经营影响。</w:t>
      </w:r>
    </w:p>
    <w:p w14:paraId="5DB28B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77ED3BF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40FC4C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四、质量标准及验收要求</w:t>
      </w:r>
    </w:p>
    <w:p w14:paraId="07B63C7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1.所有电缆、配电箱、管材等设备辅材均为全新原厂合格产品，具备合格证、3C认证、检测报告，满足国家现行电气、消防相关规范标准。</w:t>
      </w:r>
    </w:p>
    <w:p w14:paraId="2F5F021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2.施工工艺符合《建筑电气工程施工质量验收规范》GB 50303要求；管线敷设牢固美观，接地可靠；消防风机供电回路完全独立，不存在非消防负荷搭接现象。</w:t>
      </w:r>
    </w:p>
    <w:p w14:paraId="1C9CCA7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3.完成绝缘电阻测试、通电试运行，供电系统运行稳定，配电箱开关动作可靠。</w:t>
      </w:r>
    </w:p>
    <w:p w14:paraId="2F67F70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4.工程完工后，中标单位提交完整竣工资料（竣工图纸、设备合格证、检测报告、试验记录等），配合甲方完成竣工验收；验收不合格，中标单位无条件完成整改直至验收合格。</w:t>
      </w:r>
    </w:p>
    <w:p w14:paraId="62DC4AC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64D2F2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36F1D0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五、供应商资质要求</w:t>
      </w:r>
    </w:p>
    <w:p w14:paraId="62135F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5.1 行业专项资质</w:t>
      </w:r>
    </w:p>
    <w:p w14:paraId="3A11758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施工资质：建筑机电安装工程专业承包三级及以上资质；持有有效的安全生产许可证。</w:t>
      </w:r>
    </w:p>
    <w:p w14:paraId="445E417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现场作业电工必须持有应急管理局颁发的低压电工特种作业操作证，人社电工等级证不作为有效证件；高空作业人员须具备对应特种作业操作证件。</w:t>
      </w:r>
    </w:p>
    <w:p w14:paraId="17A1FC4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15A8A8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5.2 业绩及服务能力要求</w:t>
      </w:r>
    </w:p>
    <w:p w14:paraId="6C169D7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项目业绩：近三年内须具备至少3项同类供配电线路改造、配电箱安装、机电改造类工程项目业绩。</w:t>
      </w:r>
    </w:p>
    <w:p w14:paraId="030CD01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E0A9E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11AF1BB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六、项目保修期及售后服务要求</w:t>
      </w:r>
    </w:p>
    <w:p w14:paraId="6DCC158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本项目电缆、配电箱、管材等全部材料以及管线敷设、接线调试等全部施工内容纳入保修范围，整体质保高于国家行业规范。</w:t>
      </w:r>
    </w:p>
    <w:p w14:paraId="2960862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7D67B4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6.1 保修期限</w:t>
      </w:r>
    </w:p>
    <w:p w14:paraId="3DE7603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设备整机及材料质保期：所有全新采购设备材料质保期不少于24个月（2年）；</w:t>
      </w:r>
    </w:p>
    <w:p w14:paraId="01DE094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施工工程质保期：管线敷设、安装接线、接地施工等施工工程质保期24个月；</w:t>
      </w:r>
    </w:p>
    <w:p w14:paraId="1201F7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质保期自项目整体竣工验收合格、双方签字确认之日起计算。</w:t>
      </w:r>
    </w:p>
    <w:p w14:paraId="30D7A5C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质保期内发生重大故障维修、核心部件更换，对应部位质保期自维修完成验收合格之日重新顺延计算。</w:t>
      </w:r>
    </w:p>
    <w:p w14:paraId="4B8C31E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82AC0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6.2 保修范围</w:t>
      </w:r>
    </w:p>
    <w:p w14:paraId="5EEAF1F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，因设备材料本身质量缺陷、施工安装不当、调试不规范造成线路故障、开关损坏、接地失效、供电异常等问题，全部属于免费保修范围；供应商免费上门维修、更换配件、故障排查调试，不收取人工费、材料费、上门费。</w:t>
      </w:r>
    </w:p>
    <w:p w14:paraId="4C91E3E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人为损坏、外力破坏、私自改装、不可抗力造成损坏除外，供应商可提供终身成本价维修服务。</w:t>
      </w:r>
    </w:p>
    <w:p w14:paraId="0F2B93E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31BD535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6.3 售后响应要求</w:t>
      </w:r>
    </w:p>
    <w:p w14:paraId="3587EC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质保期内发生故障，供应商接到报修通知后2小时内远程响应排查；远程无法解决的，4小时内抵达项目现场处理。</w:t>
      </w:r>
    </w:p>
    <w:p w14:paraId="3142D8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一般故障现场4小时内修复；重大故障48小时内完成维修或部件更换，保障集市供电；特殊情况无法按期修复的，须书面告知甲方并提供临时供电解决方案。</w:t>
      </w:r>
    </w:p>
    <w:p w14:paraId="185B021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C619E1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质保期内每6个月提供1次免费上门巡检服务，对供电回路、配电箱、接地系统开展检测，出具巡检报告，排查隐患。</w:t>
      </w:r>
    </w:p>
    <w:p w14:paraId="0BFCC2C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B11CA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6.4 质保期后服务</w:t>
      </w:r>
    </w:p>
    <w:p w14:paraId="1C063B4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质保期满后，供应商提供终身优惠维保服务，维修更换配件仅收取成本费用，免费提供技术咨询，优先保障本项目配件供应。</w:t>
      </w:r>
    </w:p>
    <w:p w14:paraId="243EE0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5985D03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6.5 服务承诺要求</w:t>
      </w:r>
    </w:p>
    <w:p w14:paraId="3109CF0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投标单位投标文件须提供正式资质合规承诺书、质保服务承诺书，明确故障响应时效、保修标准、服务内容，不满足本条款要求视为无效投标。</w:t>
      </w:r>
    </w:p>
    <w:p w14:paraId="237B487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480E19B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2B7A74C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七、其他要求</w:t>
      </w:r>
    </w:p>
    <w:p w14:paraId="26A8D15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7.1 投标单位综合测算现场施工难度：包含错峰施工、高空作业、材料运输、垃圾清运、现场保洁、成品保护、安全防护等全部风险，报价为总价包干，包含本项目全部工作内容。</w:t>
      </w:r>
    </w:p>
    <w:p w14:paraId="5E8421B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7.2 施工垃圾必须当日清运出场，保持场地整洁。</w:t>
      </w:r>
    </w:p>
    <w:p w14:paraId="2E7C8DA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7.3 中标单位承担施工期间现场文明施工、安全生产、作业人员人身安全全部责任。</w:t>
      </w:r>
    </w:p>
    <w:p w14:paraId="6076F26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7.4 施工过程不得破坏原有消防系统，改造完成后必须保证消防风机供电回路独立、完整可用。</w:t>
      </w:r>
    </w:p>
    <w:p w14:paraId="7595906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7.5 施工过程做好与北区小集市商户沟通协调，尽量降低施工对商户经营的影响。</w:t>
      </w:r>
    </w:p>
    <w:p w14:paraId="05BC4B8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049AFC3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bookmarkStart w:id="0" w:name="_GoBack"/>
      <w:bookmarkEnd w:id="0"/>
    </w:p>
    <w:p w14:paraId="6344BC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 w14:paraId="67B732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珠海市正方海滨泳场管理服务有限公司</w:t>
      </w:r>
    </w:p>
    <w:p w14:paraId="120A3A4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A795A"/>
    <w:rsid w:val="14CF5677"/>
    <w:rsid w:val="486D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TML Code"/>
    <w:basedOn w:val="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742</Words>
  <Characters>814</Characters>
  <Lines>0</Lines>
  <Paragraphs>0</Paragraphs>
  <TotalTime>15</TotalTime>
  <ScaleCrop>false</ScaleCrop>
  <LinksUpToDate>false</LinksUpToDate>
  <CharactersWithSpaces>815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2026-08-28T08:27:00Z</dcterms:created>
  <dc:creator>2.DESKTOP-F6JBBR8</dc:creator>
  <cp:lastModifiedBy>富</cp:lastModifiedBy>
  <dcterms:modified xsi:type="dcterms:W3CDTF">2026-08-29T06:20:24Z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eyJoZGlkIjoiZDMxZWM3YjAzNmM2NGJjN2JkZWRmMGM1YTE2Y2M3ODciLCJ1c2VySWQiOiI4NjM4MTU0NjEifQ==</vt:lpwstr>
  </property>
  <property fmtid="{D5CDD505-2E9C-101B-9397-08002B2CF9AE}" pid="4" name="ICV">
    <vt:lpwstr>5B920CDD34FB48EF8FFF24213741C86C_12</vt:lpwstr>
  </property>
</Properties>
</file>