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B192F">
      <w:pPr>
        <w:pStyle w:val="3"/>
        <w:jc w:val="center"/>
        <w:rPr>
          <w:rFonts w:hint="eastAsia" w:ascii="仿宋" w:hAnsi="仿宋" w:eastAsia="仿宋" w:cs="宋体"/>
          <w:b w:val="0"/>
          <w:bCs/>
          <w:sz w:val="32"/>
          <w:szCs w:val="56"/>
          <w:highlight w:val="none"/>
        </w:rPr>
      </w:pPr>
      <w:bookmarkStart w:id="1" w:name="_GoBack"/>
      <w:bookmarkEnd w:id="1"/>
      <w:r>
        <w:rPr>
          <w:rFonts w:hint="eastAsia" w:ascii="仿宋" w:hAnsi="仿宋" w:eastAsia="仿宋" w:cs="宋体"/>
          <w:b/>
          <w:bCs/>
          <w:sz w:val="32"/>
          <w:szCs w:val="56"/>
          <w:highlight w:val="none"/>
          <w:lang w:val="en-US" w:eastAsia="zh-CN"/>
        </w:rPr>
        <w:t>2026</w:t>
      </w:r>
      <w:r>
        <w:rPr>
          <w:rFonts w:hint="eastAsia" w:ascii="仿宋" w:hAnsi="仿宋" w:eastAsia="仿宋" w:cs="宋体"/>
          <w:b w:val="0"/>
          <w:bCs/>
          <w:sz w:val="32"/>
          <w:szCs w:val="56"/>
          <w:highlight w:val="none"/>
        </w:rPr>
        <w:t>年度珠海正</w:t>
      </w:r>
      <w:r>
        <w:rPr>
          <w:rFonts w:ascii="仿宋" w:hAnsi="仿宋" w:eastAsia="仿宋" w:cs="宋体"/>
          <w:b w:val="0"/>
          <w:bCs/>
          <w:sz w:val="32"/>
          <w:szCs w:val="56"/>
          <w:highlight w:val="none"/>
        </w:rPr>
        <w:t>方集团</w:t>
      </w:r>
      <w:r>
        <w:rPr>
          <w:rFonts w:hint="eastAsia" w:ascii="仿宋" w:hAnsi="仿宋" w:eastAsia="仿宋" w:cs="宋体"/>
          <w:b w:val="0"/>
          <w:bCs/>
          <w:sz w:val="32"/>
          <w:szCs w:val="56"/>
          <w:highlight w:val="none"/>
        </w:rPr>
        <w:t>评估服务集中</w:t>
      </w:r>
      <w:r>
        <w:rPr>
          <w:rFonts w:ascii="仿宋" w:hAnsi="仿宋" w:eastAsia="仿宋" w:cs="宋体"/>
          <w:b w:val="0"/>
          <w:bCs/>
          <w:sz w:val="32"/>
          <w:szCs w:val="56"/>
          <w:highlight w:val="none"/>
        </w:rPr>
        <w:t>采购</w:t>
      </w:r>
    </w:p>
    <w:p w14:paraId="5B8B66E7">
      <w:pPr>
        <w:spacing w:line="360" w:lineRule="auto"/>
        <w:jc w:val="center"/>
        <w:outlineLvl w:val="0"/>
        <w:rPr>
          <w:rFonts w:hint="eastAsia" w:ascii="仿宋" w:hAnsi="仿宋" w:eastAsia="仿宋" w:cs="宋体"/>
          <w:b/>
          <w:bCs/>
          <w:sz w:val="36"/>
          <w:szCs w:val="56"/>
          <w:highlight w:val="none"/>
        </w:rPr>
      </w:pPr>
      <w:r>
        <w:rPr>
          <w:rFonts w:hint="eastAsia" w:ascii="仿宋" w:hAnsi="仿宋" w:eastAsia="仿宋" w:cs="宋体"/>
          <w:b/>
          <w:bCs/>
          <w:sz w:val="36"/>
          <w:szCs w:val="56"/>
          <w:highlight w:val="none"/>
        </w:rPr>
        <w:t>技术任务书</w:t>
      </w:r>
    </w:p>
    <w:p w14:paraId="13EDCCC3">
      <w:pPr>
        <w:spacing w:line="360" w:lineRule="auto"/>
        <w:jc w:val="center"/>
        <w:rPr>
          <w:rFonts w:hint="eastAsia" w:ascii="仿宋" w:hAnsi="仿宋" w:eastAsia="仿宋" w:cs="宋体"/>
          <w:b/>
          <w:bCs/>
          <w:sz w:val="32"/>
          <w:szCs w:val="32"/>
          <w:highlight w:val="none"/>
        </w:rPr>
      </w:pPr>
    </w:p>
    <w:p w14:paraId="5E62FBF6">
      <w:pPr>
        <w:spacing w:line="360" w:lineRule="auto"/>
        <w:jc w:val="center"/>
        <w:rPr>
          <w:rFonts w:hint="eastAsia" w:ascii="仿宋" w:hAnsi="仿宋" w:eastAsia="仿宋" w:cs="宋体"/>
          <w:b/>
          <w:bCs/>
          <w:sz w:val="32"/>
          <w:szCs w:val="32"/>
          <w:highlight w:val="none"/>
        </w:rPr>
      </w:pPr>
    </w:p>
    <w:p w14:paraId="7E7A80A2">
      <w:pPr>
        <w:spacing w:line="360" w:lineRule="auto"/>
        <w:jc w:val="center"/>
        <w:rPr>
          <w:rFonts w:hint="eastAsia" w:ascii="仿宋" w:hAnsi="仿宋" w:eastAsia="仿宋" w:cs="宋体"/>
          <w:b/>
          <w:bCs/>
          <w:sz w:val="32"/>
          <w:szCs w:val="32"/>
          <w:highlight w:val="none"/>
        </w:rPr>
      </w:pPr>
      <w:r>
        <w:rPr>
          <w:highlight w:val="none"/>
        </w:rPr>
        <w:drawing>
          <wp:inline distT="0" distB="0" distL="114300" distR="114300">
            <wp:extent cx="2146935" cy="2139315"/>
            <wp:effectExtent l="0" t="0" r="5715" b="1333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2146935" cy="2139315"/>
                    </a:xfrm>
                    <a:prstGeom prst="rect">
                      <a:avLst/>
                    </a:prstGeom>
                    <a:noFill/>
                    <a:ln>
                      <a:noFill/>
                    </a:ln>
                  </pic:spPr>
                </pic:pic>
              </a:graphicData>
            </a:graphic>
          </wp:inline>
        </w:drawing>
      </w:r>
    </w:p>
    <w:p w14:paraId="739C9A2F">
      <w:pPr>
        <w:spacing w:line="360" w:lineRule="auto"/>
        <w:jc w:val="center"/>
        <w:rPr>
          <w:rFonts w:hint="eastAsia" w:ascii="仿宋" w:hAnsi="仿宋" w:eastAsia="仿宋" w:cs="宋体"/>
          <w:b/>
          <w:bCs/>
          <w:sz w:val="32"/>
          <w:szCs w:val="32"/>
          <w:highlight w:val="none"/>
        </w:rPr>
      </w:pPr>
    </w:p>
    <w:p w14:paraId="2AC76455">
      <w:pPr>
        <w:spacing w:line="360" w:lineRule="auto"/>
        <w:jc w:val="center"/>
        <w:rPr>
          <w:rFonts w:ascii="仿宋" w:hAnsi="仿宋" w:eastAsia="仿宋" w:cs="宋体"/>
          <w:b/>
          <w:bCs/>
          <w:sz w:val="32"/>
          <w:szCs w:val="32"/>
          <w:highlight w:val="none"/>
        </w:rPr>
      </w:pPr>
    </w:p>
    <w:p w14:paraId="70044496">
      <w:pPr>
        <w:spacing w:line="360" w:lineRule="auto"/>
        <w:jc w:val="center"/>
        <w:rPr>
          <w:rFonts w:hint="eastAsia" w:ascii="仿宋" w:hAnsi="仿宋" w:eastAsia="仿宋" w:cs="宋体"/>
          <w:b/>
          <w:bCs/>
          <w:sz w:val="32"/>
          <w:szCs w:val="32"/>
          <w:highlight w:val="none"/>
        </w:rPr>
      </w:pPr>
    </w:p>
    <w:p w14:paraId="026A859B">
      <w:pPr>
        <w:spacing w:line="360" w:lineRule="auto"/>
        <w:jc w:val="center"/>
        <w:rPr>
          <w:rFonts w:hint="eastAsia" w:ascii="仿宋" w:hAnsi="仿宋" w:eastAsia="仿宋" w:cs="宋体"/>
          <w:b/>
          <w:bCs/>
          <w:sz w:val="32"/>
          <w:szCs w:val="32"/>
          <w:highlight w:val="none"/>
        </w:rPr>
      </w:pPr>
    </w:p>
    <w:p w14:paraId="6174B1D6">
      <w:pPr>
        <w:spacing w:line="360" w:lineRule="auto"/>
        <w:rPr>
          <w:rFonts w:ascii="仿宋" w:hAnsi="仿宋" w:eastAsia="仿宋" w:cs="宋体"/>
          <w:b/>
          <w:bCs/>
          <w:sz w:val="32"/>
          <w:szCs w:val="32"/>
          <w:highlight w:val="none"/>
        </w:rPr>
      </w:pPr>
      <w:r>
        <w:rPr>
          <w:rFonts w:hint="eastAsia" w:ascii="仿宋" w:hAnsi="仿宋" w:eastAsia="仿宋" w:cs="宋体"/>
          <w:b/>
          <w:bCs/>
          <w:sz w:val="32"/>
          <w:szCs w:val="32"/>
          <w:highlight w:val="none"/>
        </w:rPr>
        <w:t xml:space="preserve">编制： </w:t>
      </w:r>
      <w:r>
        <w:rPr>
          <w:rFonts w:ascii="仿宋" w:hAnsi="仿宋" w:eastAsia="仿宋" w:cs="宋体"/>
          <w:b/>
          <w:bCs/>
          <w:sz w:val="32"/>
          <w:szCs w:val="32"/>
          <w:highlight w:val="none"/>
        </w:rPr>
        <w:t xml:space="preserve">                      </w:t>
      </w:r>
    </w:p>
    <w:p w14:paraId="775C688E">
      <w:pPr>
        <w:spacing w:line="360" w:lineRule="auto"/>
        <w:rPr>
          <w:rFonts w:hint="eastAsia" w:ascii="仿宋" w:hAnsi="仿宋" w:eastAsia="仿宋" w:cs="宋体"/>
          <w:b/>
          <w:bCs/>
          <w:sz w:val="32"/>
          <w:szCs w:val="32"/>
          <w:highlight w:val="none"/>
        </w:rPr>
      </w:pPr>
    </w:p>
    <w:p w14:paraId="2297F93A">
      <w:pPr>
        <w:spacing w:line="360" w:lineRule="auto"/>
        <w:rPr>
          <w:rFonts w:ascii="仿宋" w:hAnsi="仿宋" w:eastAsia="仿宋" w:cs="宋体"/>
          <w:b/>
          <w:bCs/>
          <w:sz w:val="32"/>
          <w:szCs w:val="32"/>
          <w:highlight w:val="none"/>
        </w:rPr>
      </w:pPr>
      <w:r>
        <w:rPr>
          <w:rFonts w:hint="eastAsia" w:ascii="仿宋" w:hAnsi="仿宋" w:eastAsia="仿宋" w:cs="宋体"/>
          <w:b/>
          <w:bCs/>
          <w:sz w:val="32"/>
          <w:szCs w:val="32"/>
          <w:highlight w:val="none"/>
        </w:rPr>
        <w:t xml:space="preserve">审核： </w:t>
      </w:r>
      <w:r>
        <w:rPr>
          <w:rFonts w:ascii="仿宋" w:hAnsi="仿宋" w:eastAsia="仿宋" w:cs="宋体"/>
          <w:b/>
          <w:bCs/>
          <w:sz w:val="32"/>
          <w:szCs w:val="32"/>
          <w:highlight w:val="none"/>
        </w:rPr>
        <w:t xml:space="preserve">                      </w:t>
      </w:r>
    </w:p>
    <w:p w14:paraId="50ACC8AB">
      <w:pPr>
        <w:spacing w:line="360" w:lineRule="auto"/>
        <w:rPr>
          <w:rFonts w:ascii="仿宋" w:hAnsi="仿宋" w:eastAsia="仿宋" w:cs="宋体"/>
          <w:b/>
          <w:bCs/>
          <w:sz w:val="32"/>
          <w:szCs w:val="32"/>
          <w:highlight w:val="none"/>
        </w:rPr>
      </w:pPr>
    </w:p>
    <w:p w14:paraId="305C0E26">
      <w:pPr>
        <w:spacing w:line="360" w:lineRule="auto"/>
        <w:rPr>
          <w:rFonts w:hint="eastAsia" w:ascii="仿宋" w:hAnsi="仿宋" w:eastAsia="仿宋" w:cs="宋体"/>
          <w:b/>
          <w:bCs/>
          <w:sz w:val="32"/>
          <w:szCs w:val="32"/>
          <w:highlight w:val="none"/>
        </w:rPr>
      </w:pPr>
    </w:p>
    <w:p w14:paraId="08F6F3E1">
      <w:pPr>
        <w:spacing w:before="156" w:beforeLines="50" w:after="156" w:afterLines="50"/>
        <w:jc w:val="center"/>
        <w:rPr>
          <w:rFonts w:hint="eastAsia" w:ascii="仿宋" w:hAnsi="仿宋" w:eastAsia="仿宋"/>
          <w:b/>
          <w:bCs/>
          <w:sz w:val="30"/>
          <w:szCs w:val="30"/>
          <w:highlight w:val="none"/>
        </w:rPr>
      </w:pPr>
      <w:r>
        <w:rPr>
          <w:rFonts w:hint="eastAsia" w:ascii="仿宋" w:hAnsi="仿宋" w:eastAsia="仿宋"/>
          <w:b/>
          <w:sz w:val="30"/>
          <w:szCs w:val="30"/>
          <w:highlight w:val="none"/>
        </w:rPr>
        <w:t>珠海正方</w:t>
      </w:r>
      <w:r>
        <w:rPr>
          <w:rFonts w:ascii="仿宋" w:hAnsi="仿宋" w:eastAsia="仿宋"/>
          <w:b/>
          <w:sz w:val="30"/>
          <w:szCs w:val="30"/>
          <w:highlight w:val="none"/>
        </w:rPr>
        <w:t>集团</w:t>
      </w:r>
      <w:r>
        <w:rPr>
          <w:rFonts w:hint="eastAsia" w:ascii="仿宋" w:hAnsi="仿宋" w:eastAsia="仿宋"/>
          <w:b/>
          <w:sz w:val="30"/>
          <w:szCs w:val="30"/>
          <w:highlight w:val="none"/>
        </w:rPr>
        <w:t>有限公司</w:t>
      </w:r>
    </w:p>
    <w:p w14:paraId="2FF37A0B">
      <w:pPr>
        <w:spacing w:before="156" w:beforeLines="50" w:after="156" w:afterLines="50"/>
        <w:ind w:left="102"/>
        <w:jc w:val="center"/>
        <w:rPr>
          <w:rFonts w:hint="eastAsia" w:ascii="仿宋" w:hAnsi="仿宋" w:eastAsia="仿宋"/>
          <w:b/>
          <w:bCs/>
          <w:spacing w:val="2"/>
          <w:sz w:val="30"/>
          <w:szCs w:val="30"/>
          <w:highlight w:val="none"/>
        </w:rPr>
      </w:pPr>
      <w:r>
        <w:rPr>
          <w:rFonts w:hint="eastAsia" w:ascii="仿宋" w:hAnsi="仿宋" w:eastAsia="仿宋"/>
          <w:b/>
          <w:bCs/>
          <w:spacing w:val="2"/>
          <w:sz w:val="30"/>
          <w:szCs w:val="30"/>
          <w:highlight w:val="none"/>
        </w:rPr>
        <w:t xml:space="preserve"> 202</w:t>
      </w:r>
      <w:r>
        <w:rPr>
          <w:rFonts w:hint="eastAsia" w:ascii="仿宋" w:hAnsi="仿宋" w:eastAsia="仿宋"/>
          <w:b/>
          <w:bCs/>
          <w:spacing w:val="2"/>
          <w:sz w:val="30"/>
          <w:szCs w:val="30"/>
          <w:highlight w:val="none"/>
          <w:lang w:val="en-US" w:eastAsia="zh-CN"/>
        </w:rPr>
        <w:t>6</w:t>
      </w:r>
      <w:r>
        <w:rPr>
          <w:rFonts w:hint="eastAsia" w:ascii="仿宋" w:hAnsi="仿宋" w:eastAsia="仿宋"/>
          <w:b/>
          <w:bCs/>
          <w:spacing w:val="2"/>
          <w:sz w:val="30"/>
          <w:szCs w:val="30"/>
          <w:highlight w:val="none"/>
        </w:rPr>
        <w:t>年</w:t>
      </w:r>
      <w:r>
        <w:rPr>
          <w:rFonts w:hint="eastAsia" w:ascii="仿宋" w:hAnsi="仿宋" w:eastAsia="仿宋"/>
          <w:b/>
          <w:bCs/>
          <w:spacing w:val="2"/>
          <w:sz w:val="30"/>
          <w:szCs w:val="30"/>
          <w:highlight w:val="none"/>
          <w:lang w:val="en-US" w:eastAsia="zh-CN"/>
        </w:rPr>
        <w:t>8</w:t>
      </w:r>
      <w:r>
        <w:rPr>
          <w:rFonts w:hint="eastAsia" w:ascii="仿宋" w:hAnsi="仿宋" w:eastAsia="仿宋"/>
          <w:b/>
          <w:bCs/>
          <w:spacing w:val="2"/>
          <w:sz w:val="30"/>
          <w:szCs w:val="30"/>
          <w:highlight w:val="none"/>
        </w:rPr>
        <w:t>月</w:t>
      </w:r>
      <w:r>
        <w:rPr>
          <w:rFonts w:hint="eastAsia" w:ascii="仿宋" w:hAnsi="仿宋" w:eastAsia="仿宋"/>
          <w:b/>
          <w:bCs/>
          <w:spacing w:val="2"/>
          <w:sz w:val="30"/>
          <w:szCs w:val="30"/>
          <w:highlight w:val="none"/>
          <w:lang w:val="en-US" w:eastAsia="zh-CN"/>
        </w:rPr>
        <w:t>2</w:t>
      </w:r>
      <w:r>
        <w:rPr>
          <w:rFonts w:hint="eastAsia" w:ascii="仿宋" w:hAnsi="仿宋" w:eastAsia="仿宋"/>
          <w:b/>
          <w:bCs/>
          <w:spacing w:val="2"/>
          <w:sz w:val="30"/>
          <w:szCs w:val="30"/>
          <w:highlight w:val="none"/>
          <w:lang w:val="en-US" w:eastAsia="zh-CN"/>
        </w:rPr>
        <w:t>1</w:t>
      </w:r>
      <w:r>
        <w:rPr>
          <w:rFonts w:hint="eastAsia" w:ascii="仿宋" w:hAnsi="仿宋" w:eastAsia="仿宋"/>
          <w:b/>
          <w:bCs/>
          <w:spacing w:val="2"/>
          <w:sz w:val="30"/>
          <w:szCs w:val="30"/>
          <w:highlight w:val="none"/>
        </w:rPr>
        <w:t>日</w:t>
      </w:r>
    </w:p>
    <w:p w14:paraId="477182CC">
      <w:pPr>
        <w:spacing w:line="360" w:lineRule="auto"/>
        <w:ind w:right="-624" w:rightChars="-297"/>
        <w:jc w:val="center"/>
        <w:outlineLvl w:val="0"/>
        <w:rPr>
          <w:rFonts w:hint="default" w:ascii="仿宋" w:hAnsi="仿宋" w:eastAsia="仿宋" w:cs="仿宋"/>
          <w:sz w:val="24"/>
          <w:szCs w:val="32"/>
          <w:highlight w:val="none"/>
          <w:lang w:val="en-US" w:eastAsia="zh-CN"/>
        </w:rPr>
      </w:pPr>
      <w:r>
        <w:rPr>
          <w:rFonts w:hint="eastAsia" w:ascii="仿宋" w:hAnsi="仿宋" w:eastAsia="仿宋" w:cs="宋体"/>
          <w:b/>
          <w:bCs/>
          <w:sz w:val="28"/>
          <w:highlight w:val="none"/>
        </w:rPr>
        <w:t>第</w:t>
      </w:r>
      <w:r>
        <w:rPr>
          <w:rFonts w:ascii="仿宋" w:hAnsi="仿宋" w:eastAsia="仿宋" w:cs="宋体"/>
          <w:b/>
          <w:bCs/>
          <w:sz w:val="28"/>
          <w:highlight w:val="none"/>
        </w:rPr>
        <w:t>一部分</w:t>
      </w:r>
      <w:r>
        <w:rPr>
          <w:rFonts w:hint="eastAsia" w:ascii="仿宋" w:hAnsi="仿宋" w:eastAsia="仿宋" w:cs="宋体"/>
          <w:b/>
          <w:bCs/>
          <w:sz w:val="28"/>
          <w:highlight w:val="none"/>
        </w:rPr>
        <w:t xml:space="preserve"> 通</w:t>
      </w:r>
      <w:r>
        <w:rPr>
          <w:rFonts w:ascii="仿宋" w:hAnsi="仿宋" w:eastAsia="仿宋" w:cs="宋体"/>
          <w:b/>
          <w:bCs/>
          <w:sz w:val="28"/>
          <w:highlight w:val="none"/>
        </w:rPr>
        <w:t>用</w:t>
      </w:r>
      <w:r>
        <w:rPr>
          <w:rFonts w:hint="eastAsia" w:ascii="仿宋" w:hAnsi="仿宋" w:eastAsia="仿宋" w:cs="宋体"/>
          <w:b/>
          <w:bCs/>
          <w:sz w:val="28"/>
          <w:highlight w:val="none"/>
          <w:lang w:val="en-US" w:eastAsia="zh-CN"/>
        </w:rPr>
        <w:t>要</w:t>
      </w:r>
      <w:r>
        <w:rPr>
          <w:rFonts w:hint="eastAsia" w:ascii="仿宋" w:hAnsi="仿宋" w:eastAsia="仿宋" w:cs="宋体"/>
          <w:b/>
          <w:bCs/>
          <w:sz w:val="28"/>
          <w:highlight w:val="none"/>
          <w:lang w:val="en-US" w:eastAsia="zh-CN"/>
        </w:rPr>
        <w:t>求</w:t>
      </w:r>
    </w:p>
    <w:p w14:paraId="46959119">
      <w:pPr>
        <w:pStyle w:val="12"/>
        <w:numPr>
          <w:ilvl w:val="0"/>
          <w:numId w:val="1"/>
        </w:numPr>
        <w:spacing w:line="560" w:lineRule="exact"/>
        <w:ind w:left="482" w:right="-624" w:rightChars="-297" w:hanging="482" w:hangingChars="200"/>
        <w:jc w:val="both"/>
        <w:outlineLvl w:val="1"/>
        <w:rPr>
          <w:rFonts w:hint="eastAsia" w:ascii="仿宋" w:hAnsi="仿宋" w:eastAsia="仿宋" w:cs="宋体"/>
          <w:b/>
          <w:bCs/>
          <w:kern w:val="2"/>
          <w:sz w:val="24"/>
          <w:szCs w:val="24"/>
          <w:highlight w:val="none"/>
          <w:lang w:val="en-US" w:eastAsia="zh-CN" w:bidi="ar-SA"/>
        </w:rPr>
      </w:pPr>
      <w:r>
        <w:rPr>
          <w:rFonts w:hint="eastAsia" w:ascii="仿宋" w:hAnsi="仿宋" w:eastAsia="仿宋" w:cs="宋体"/>
          <w:b/>
          <w:bCs/>
          <w:kern w:val="2"/>
          <w:sz w:val="24"/>
          <w:szCs w:val="24"/>
          <w:highlight w:val="none"/>
          <w:lang w:val="en-US" w:eastAsia="zh-CN" w:bidi="ar-SA"/>
        </w:rPr>
        <w:t>质量要求</w:t>
      </w:r>
    </w:p>
    <w:p w14:paraId="67BDAA62">
      <w:pPr>
        <w:numPr>
          <w:ilvl w:val="0"/>
          <w:numId w:val="2"/>
        </w:numPr>
        <w:spacing w:line="360" w:lineRule="auto"/>
        <w:ind w:right="-624" w:rightChars="-297"/>
        <w:rPr>
          <w:rFonts w:hint="eastAsia" w:ascii="仿宋" w:hAnsi="仿宋" w:eastAsia="仿宋" w:cs="宋体"/>
          <w:sz w:val="24"/>
          <w:highlight w:val="none"/>
        </w:rPr>
      </w:pPr>
      <w:r>
        <w:rPr>
          <w:rFonts w:hint="eastAsia" w:ascii="仿宋" w:hAnsi="仿宋" w:eastAsia="仿宋" w:cs="宋体"/>
          <w:sz w:val="24"/>
          <w:highlight w:val="none"/>
        </w:rPr>
        <w:t>质量目标：评估单位必须严格遵守《房地产估价机构管理办法》、《注册房地产估价师管理办法》、《广东省房地产评估条例》等有关法律、法规等规定，按要求选派具备执业资格的人员开展评估业务，保证资料、工作稿件的正确完整和规范，出具的审核报告、结论及意见须客观公正，符合法律法规及相关文件的要求，对出具的审核报告承担法律责任，并接受采购人的监督管理。</w:t>
      </w:r>
    </w:p>
    <w:p w14:paraId="7DE8CCD6">
      <w:pPr>
        <w:numPr>
          <w:ilvl w:val="0"/>
          <w:numId w:val="2"/>
        </w:numPr>
        <w:spacing w:line="360" w:lineRule="auto"/>
        <w:ind w:right="-624" w:rightChars="-297"/>
        <w:rPr>
          <w:rFonts w:hint="eastAsia" w:ascii="仿宋" w:hAnsi="仿宋" w:eastAsia="仿宋" w:cs="宋体"/>
          <w:sz w:val="24"/>
          <w:highlight w:val="none"/>
        </w:rPr>
      </w:pPr>
      <w:r>
        <w:rPr>
          <w:rFonts w:hint="eastAsia" w:ascii="仿宋" w:hAnsi="仿宋" w:eastAsia="仿宋" w:cs="宋体"/>
          <w:sz w:val="24"/>
          <w:highlight w:val="none"/>
        </w:rPr>
        <w:t>执行标准：执行国家、广东省、珠海市现行法律法规及相关规定要求，中标人须有出具资产报告所要求的国家、行业、地区所要求的资产、房地产、土地评估资质及备案。</w:t>
      </w:r>
    </w:p>
    <w:p w14:paraId="57F31532">
      <w:pPr>
        <w:numPr>
          <w:ilvl w:val="0"/>
          <w:numId w:val="2"/>
        </w:numPr>
        <w:spacing w:line="360" w:lineRule="auto"/>
        <w:ind w:right="-624" w:rightChars="-297"/>
        <w:rPr>
          <w:rFonts w:hint="eastAsia" w:ascii="仿宋" w:hAnsi="仿宋" w:eastAsia="仿宋" w:cs="宋体"/>
          <w:sz w:val="24"/>
          <w:highlight w:val="none"/>
        </w:rPr>
      </w:pPr>
      <w:r>
        <w:rPr>
          <w:rFonts w:hint="eastAsia" w:ascii="仿宋" w:hAnsi="仿宋" w:eastAsia="仿宋" w:cs="宋体"/>
          <w:sz w:val="24"/>
          <w:highlight w:val="none"/>
        </w:rPr>
        <w:t>成果评审与验收</w:t>
      </w:r>
      <w:r>
        <w:rPr>
          <w:rFonts w:hint="eastAsia" w:ascii="仿宋" w:hAnsi="仿宋" w:eastAsia="仿宋" w:cs="宋体"/>
          <w:sz w:val="24"/>
          <w:highlight w:val="none"/>
          <w:lang w:eastAsia="zh-CN"/>
        </w:rPr>
        <w:t>：</w:t>
      </w:r>
      <w:r>
        <w:rPr>
          <w:rFonts w:hint="eastAsia" w:ascii="仿宋" w:hAnsi="仿宋" w:eastAsia="仿宋" w:cs="宋体"/>
          <w:sz w:val="24"/>
          <w:highlight w:val="none"/>
        </w:rPr>
        <w:t>评估单位</w:t>
      </w:r>
      <w:r>
        <w:rPr>
          <w:rFonts w:hint="eastAsia" w:ascii="仿宋" w:hAnsi="仿宋" w:eastAsia="仿宋" w:cs="宋体"/>
          <w:sz w:val="24"/>
          <w:highlight w:val="none"/>
          <w:lang w:eastAsia="zh-CN"/>
        </w:rPr>
        <w:t>应确保评估成果科学准确，符合国家、行业及采购人内部相关标准；积极配合</w:t>
      </w:r>
      <w:r>
        <w:rPr>
          <w:rFonts w:hint="eastAsia" w:ascii="仿宋" w:hAnsi="仿宋" w:eastAsia="仿宋" w:cs="仿宋"/>
          <w:color w:val="000000"/>
          <w:sz w:val="24"/>
          <w:szCs w:val="32"/>
          <w:highlight w:val="none"/>
        </w:rPr>
        <w:t>招标人</w:t>
      </w:r>
      <w:r>
        <w:rPr>
          <w:rFonts w:hint="eastAsia" w:ascii="仿宋" w:hAnsi="仿宋" w:eastAsia="仿宋" w:cs="宋体"/>
          <w:sz w:val="24"/>
          <w:highlight w:val="none"/>
          <w:lang w:eastAsia="zh-CN"/>
        </w:rPr>
        <w:t>组织的</w:t>
      </w:r>
      <w:r>
        <w:rPr>
          <w:rFonts w:hint="eastAsia" w:ascii="仿宋" w:hAnsi="仿宋" w:eastAsia="仿宋" w:cs="宋体"/>
          <w:sz w:val="24"/>
          <w:highlight w:val="none"/>
          <w:lang w:val="en-US" w:eastAsia="zh-CN"/>
        </w:rPr>
        <w:t>评估评审</w:t>
      </w:r>
      <w:r>
        <w:rPr>
          <w:rFonts w:hint="eastAsia" w:ascii="仿宋" w:hAnsi="仿宋" w:eastAsia="仿宋" w:cs="宋体"/>
          <w:sz w:val="24"/>
          <w:highlight w:val="none"/>
          <w:lang w:eastAsia="zh-CN"/>
        </w:rPr>
        <w:t>，按评审意见及时修改完善，并将修改调整情况以书面形式正式反馈；成果经评审合格后方可作为最终验收依据。</w:t>
      </w:r>
    </w:p>
    <w:p w14:paraId="5E9F98C9">
      <w:pPr>
        <w:pStyle w:val="12"/>
        <w:numPr>
          <w:ilvl w:val="0"/>
          <w:numId w:val="1"/>
        </w:numPr>
        <w:spacing w:line="560" w:lineRule="exact"/>
        <w:ind w:left="482" w:right="-624" w:rightChars="-297" w:hanging="482" w:hangingChars="200"/>
        <w:jc w:val="both"/>
        <w:outlineLvl w:val="1"/>
        <w:rPr>
          <w:rFonts w:hint="eastAsia" w:ascii="仿宋" w:hAnsi="仿宋" w:eastAsia="仿宋" w:cs="宋体"/>
          <w:b/>
          <w:bCs/>
          <w:kern w:val="2"/>
          <w:sz w:val="24"/>
          <w:szCs w:val="24"/>
          <w:highlight w:val="none"/>
          <w:lang w:val="en-US" w:eastAsia="zh-CN" w:bidi="ar-SA"/>
        </w:rPr>
      </w:pPr>
      <w:r>
        <w:rPr>
          <w:rFonts w:hint="eastAsia" w:ascii="仿宋" w:hAnsi="仿宋" w:eastAsia="仿宋" w:cs="宋体"/>
          <w:b/>
          <w:bCs/>
          <w:kern w:val="2"/>
          <w:sz w:val="24"/>
          <w:szCs w:val="24"/>
          <w:highlight w:val="none"/>
          <w:lang w:val="en-US" w:eastAsia="zh-CN" w:bidi="ar-SA"/>
        </w:rPr>
        <w:t>取费标准（价款或者报酬）</w:t>
      </w:r>
    </w:p>
    <w:p w14:paraId="752FD73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right="-624" w:rightChars="-297" w:firstLine="480" w:firstLineChars="200"/>
        <w:textAlignment w:val="auto"/>
        <w:rPr>
          <w:rFonts w:hint="eastAsia" w:ascii="仿宋" w:hAnsi="仿宋" w:eastAsia="仿宋" w:cs="宋体"/>
          <w:sz w:val="24"/>
          <w:highlight w:val="none"/>
        </w:rPr>
      </w:pPr>
      <w:r>
        <w:rPr>
          <w:rFonts w:hint="eastAsia" w:ascii="仿宋" w:hAnsi="仿宋" w:eastAsia="仿宋" w:cs="宋体"/>
          <w:sz w:val="24"/>
          <w:highlight w:val="none"/>
        </w:rPr>
        <w:t>根据评估内容统一取费标准，以费率形式确定中标单位。</w:t>
      </w:r>
    </w:p>
    <w:p w14:paraId="5B6AB39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right="-624" w:rightChars="-297" w:firstLine="480" w:firstLineChars="200"/>
        <w:textAlignment w:val="auto"/>
        <w:rPr>
          <w:rFonts w:ascii="仿宋" w:hAnsi="仿宋" w:eastAsia="仿宋" w:cs="宋体"/>
          <w:sz w:val="24"/>
          <w:highlight w:val="none"/>
        </w:rPr>
      </w:pPr>
      <w:r>
        <w:rPr>
          <w:rFonts w:hint="eastAsia" w:ascii="仿宋" w:hAnsi="仿宋" w:eastAsia="仿宋" w:cs="宋体"/>
          <w:sz w:val="24"/>
          <w:highlight w:val="none"/>
        </w:rPr>
        <w:t>计取方式：根据实际业务量进行结算。如项目实际开展过程中“项目概况”发生变化，并对评估方案或结果产生影响，因此造成评估工作量的增加，由双方另行协商签订补充协议增加相关工作费用。</w:t>
      </w:r>
    </w:p>
    <w:p w14:paraId="7EBE4BB2">
      <w:pPr>
        <w:pStyle w:val="12"/>
        <w:numPr>
          <w:ilvl w:val="0"/>
          <w:numId w:val="1"/>
        </w:numPr>
        <w:spacing w:line="560" w:lineRule="exact"/>
        <w:ind w:left="482" w:right="-624" w:rightChars="-297" w:hanging="482" w:hangingChars="200"/>
        <w:jc w:val="both"/>
        <w:outlineLvl w:val="1"/>
        <w:rPr>
          <w:rFonts w:ascii="仿宋" w:hAnsi="仿宋" w:eastAsia="仿宋" w:cs="黑体"/>
          <w:b/>
          <w:color w:val="000000"/>
          <w:sz w:val="24"/>
          <w:szCs w:val="32"/>
          <w:highlight w:val="none"/>
        </w:rPr>
      </w:pPr>
      <w:r>
        <w:rPr>
          <w:rFonts w:hint="eastAsia" w:ascii="仿宋" w:hAnsi="仿宋" w:eastAsia="仿宋" w:cs="黑体"/>
          <w:b/>
          <w:color w:val="000000"/>
          <w:sz w:val="24"/>
          <w:szCs w:val="32"/>
          <w:highlight w:val="none"/>
        </w:rPr>
        <w:t>其他事项</w:t>
      </w:r>
    </w:p>
    <w:p w14:paraId="43559C61">
      <w:pPr>
        <w:pStyle w:val="12"/>
        <w:keepNext w:val="0"/>
        <w:keepLines w:val="0"/>
        <w:pageBreakBefore w:val="0"/>
        <w:widowControl w:val="0"/>
        <w:kinsoku/>
        <w:wordWrap/>
        <w:overflowPunct/>
        <w:topLinePunct w:val="0"/>
        <w:autoSpaceDE/>
        <w:autoSpaceDN/>
        <w:bidi w:val="0"/>
        <w:adjustRightInd/>
        <w:snapToGrid/>
        <w:spacing w:line="560" w:lineRule="exact"/>
        <w:ind w:left="420" w:leftChars="200" w:right="-624" w:rightChars="-297" w:firstLine="480" w:firstLineChars="200"/>
        <w:jc w:val="center"/>
        <w:textAlignment w:val="auto"/>
        <w:rPr>
          <w:rFonts w:hint="eastAsia" w:ascii="仿宋" w:hAnsi="仿宋" w:eastAsia="仿宋" w:cs="宋体"/>
          <w:b/>
          <w:bCs/>
          <w:sz w:val="28"/>
          <w:highlight w:val="none"/>
        </w:rPr>
      </w:pPr>
      <w:r>
        <w:rPr>
          <w:rFonts w:hint="eastAsia" w:ascii="仿宋" w:hAnsi="仿宋" w:eastAsia="仿宋" w:cs="仿宋"/>
          <w:color w:val="000000"/>
          <w:sz w:val="24"/>
          <w:szCs w:val="32"/>
          <w:highlight w:val="none"/>
        </w:rPr>
        <w:t>中标人在咨询服务过程中必须积极响应招标人的管理要求，</w:t>
      </w:r>
      <w:r>
        <w:rPr>
          <w:rFonts w:hint="eastAsia" w:ascii="仿宋" w:hAnsi="仿宋" w:eastAsia="仿宋" w:cs="仿宋"/>
          <w:color w:val="000000"/>
          <w:sz w:val="24"/>
          <w:szCs w:val="32"/>
          <w:highlight w:val="none"/>
          <w:lang w:val="en-US" w:eastAsia="zh-CN"/>
        </w:rPr>
        <w:t>根据招标人的需求提</w:t>
      </w:r>
      <w:r>
        <w:rPr>
          <w:rFonts w:hint="eastAsia" w:ascii="仿宋" w:hAnsi="仿宋" w:eastAsia="仿宋" w:cs="仿宋"/>
          <w:color w:val="000000"/>
          <w:sz w:val="24"/>
          <w:szCs w:val="32"/>
          <w:highlight w:val="none"/>
        </w:rPr>
        <w:t>供评估相关的其它咨询服务</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rPr>
        <w:t>否则招标人有权和其他的</w:t>
      </w:r>
      <w:r>
        <w:rPr>
          <w:rFonts w:hint="eastAsia" w:ascii="仿宋" w:hAnsi="仿宋" w:eastAsia="仿宋" w:cs="仿宋"/>
          <w:color w:val="000000"/>
          <w:sz w:val="24"/>
          <w:szCs w:val="32"/>
          <w:highlight w:val="none"/>
          <w:lang w:val="en-US" w:eastAsia="zh-CN"/>
        </w:rPr>
        <w:t>集采中标单位</w:t>
      </w:r>
      <w:r>
        <w:rPr>
          <w:rFonts w:hint="eastAsia" w:ascii="仿宋" w:hAnsi="仿宋" w:eastAsia="仿宋" w:cs="仿宋"/>
          <w:color w:val="000000"/>
          <w:sz w:val="24"/>
          <w:szCs w:val="32"/>
          <w:highlight w:val="none"/>
        </w:rPr>
        <w:t>合作。</w:t>
      </w:r>
      <w:r>
        <w:rPr>
          <w:rFonts w:ascii="仿宋" w:hAnsi="仿宋" w:eastAsia="仿宋" w:cs="宋体"/>
          <w:b/>
          <w:bCs/>
          <w:sz w:val="28"/>
          <w:highlight w:val="none"/>
        </w:rPr>
        <w:br w:type="page"/>
      </w:r>
      <w:r>
        <w:rPr>
          <w:rFonts w:hint="eastAsia" w:ascii="仿宋" w:hAnsi="仿宋" w:eastAsia="仿宋" w:cs="宋体"/>
          <w:b/>
          <w:bCs/>
          <w:sz w:val="28"/>
          <w:highlight w:val="none"/>
        </w:rPr>
        <w:t>第</w:t>
      </w:r>
      <w:r>
        <w:rPr>
          <w:rFonts w:ascii="仿宋" w:hAnsi="仿宋" w:eastAsia="仿宋" w:cs="宋体"/>
          <w:b/>
          <w:bCs/>
          <w:sz w:val="28"/>
          <w:highlight w:val="none"/>
        </w:rPr>
        <w:t>二部分</w:t>
      </w:r>
      <w:r>
        <w:rPr>
          <w:rFonts w:hint="eastAsia" w:ascii="仿宋" w:hAnsi="仿宋" w:eastAsia="仿宋" w:cs="宋体"/>
          <w:b/>
          <w:bCs/>
          <w:sz w:val="28"/>
          <w:highlight w:val="none"/>
        </w:rPr>
        <w:t xml:space="preserve">  </w:t>
      </w:r>
      <w:r>
        <w:rPr>
          <w:rFonts w:hint="eastAsia" w:ascii="仿宋" w:hAnsi="仿宋" w:eastAsia="仿宋" w:cs="宋体"/>
          <w:b/>
          <w:sz w:val="28"/>
          <w:highlight w:val="none"/>
        </w:rPr>
        <w:t>旧改及</w:t>
      </w:r>
      <w:r>
        <w:rPr>
          <w:rFonts w:ascii="仿宋" w:hAnsi="仿宋" w:eastAsia="仿宋" w:cs="宋体"/>
          <w:b/>
          <w:sz w:val="28"/>
          <w:highlight w:val="none"/>
        </w:rPr>
        <w:t>拆迁类</w:t>
      </w:r>
      <w:r>
        <w:rPr>
          <w:rFonts w:hint="eastAsia" w:ascii="仿宋" w:hAnsi="仿宋" w:eastAsia="仿宋" w:cs="宋体"/>
          <w:b/>
          <w:sz w:val="28"/>
          <w:highlight w:val="none"/>
        </w:rPr>
        <w:t>项目评估服务</w:t>
      </w:r>
    </w:p>
    <w:p w14:paraId="56030C43">
      <w:pPr>
        <w:spacing w:line="360" w:lineRule="auto"/>
        <w:ind w:left="845" w:right="-624" w:rightChars="-297"/>
        <w:rPr>
          <w:rFonts w:hint="eastAsia" w:ascii="仿宋" w:hAnsi="仿宋" w:eastAsia="仿宋" w:cs="宋体"/>
          <w:sz w:val="24"/>
          <w:highlight w:val="none"/>
        </w:rPr>
      </w:pPr>
    </w:p>
    <w:p w14:paraId="4203A36B">
      <w:pPr>
        <w:numPr>
          <w:ilvl w:val="0"/>
          <w:numId w:val="4"/>
        </w:numPr>
        <w:spacing w:line="360" w:lineRule="auto"/>
        <w:ind w:left="482" w:right="-624" w:rightChars="-297" w:hanging="482" w:hangingChars="200"/>
        <w:outlineLvl w:val="1"/>
        <w:rPr>
          <w:rFonts w:hint="eastAsia" w:ascii="仿宋" w:hAnsi="仿宋" w:eastAsia="仿宋" w:cs="宋体"/>
          <w:b/>
          <w:bCs/>
          <w:sz w:val="24"/>
          <w:highlight w:val="none"/>
        </w:rPr>
      </w:pPr>
      <w:r>
        <w:rPr>
          <w:rFonts w:hint="eastAsia" w:ascii="仿宋" w:hAnsi="仿宋" w:eastAsia="仿宋" w:cs="宋体"/>
          <w:b/>
          <w:bCs/>
          <w:sz w:val="24"/>
          <w:highlight w:val="none"/>
        </w:rPr>
        <w:t>具体服务内容</w:t>
      </w:r>
    </w:p>
    <w:p w14:paraId="3FB0661A">
      <w:pPr>
        <w:numPr>
          <w:ilvl w:val="0"/>
          <w:numId w:val="0"/>
        </w:numPr>
        <w:spacing w:line="360" w:lineRule="auto"/>
        <w:ind w:left="0" w:right="-624" w:rightChars="-297" w:firstLine="480" w:firstLineChars="200"/>
        <w:rPr>
          <w:rFonts w:ascii="仿宋" w:hAnsi="仿宋" w:eastAsia="仿宋" w:cs="宋体"/>
          <w:sz w:val="24"/>
          <w:highlight w:val="none"/>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一</w:t>
      </w:r>
      <w:r>
        <w:rPr>
          <w:rFonts w:hint="eastAsia" w:ascii="仿宋" w:hAnsi="仿宋" w:eastAsia="仿宋" w:cs="宋体"/>
          <w:sz w:val="24"/>
          <w:highlight w:val="none"/>
          <w:lang w:eastAsia="zh-CN"/>
        </w:rPr>
        <w:t>）</w:t>
      </w:r>
      <w:r>
        <w:rPr>
          <w:rFonts w:hint="eastAsia" w:ascii="仿宋" w:hAnsi="仿宋" w:eastAsia="仿宋" w:cs="宋体"/>
          <w:sz w:val="24"/>
          <w:highlight w:val="none"/>
        </w:rPr>
        <w:t>编制项目的评估报告书：</w:t>
      </w:r>
      <w:r>
        <w:rPr>
          <w:rFonts w:hint="eastAsia" w:ascii="仿宋" w:hAnsi="仿宋" w:eastAsia="仿宋" w:cs="仿宋"/>
          <w:color w:val="000000"/>
          <w:sz w:val="24"/>
          <w:szCs w:val="32"/>
          <w:highlight w:val="none"/>
        </w:rPr>
        <w:t>中标人完成招标人及其管理的公司业务范围内所</w:t>
      </w:r>
      <w:r>
        <w:rPr>
          <w:rFonts w:hint="eastAsia" w:ascii="仿宋" w:hAnsi="仿宋" w:eastAsia="仿宋" w:cs="宋体"/>
          <w:sz w:val="24"/>
          <w:highlight w:val="none"/>
        </w:rPr>
        <w:t>涉及到的旧</w:t>
      </w:r>
      <w:r>
        <w:rPr>
          <w:rFonts w:ascii="仿宋" w:hAnsi="仿宋" w:eastAsia="仿宋" w:cs="宋体"/>
          <w:sz w:val="24"/>
          <w:highlight w:val="none"/>
        </w:rPr>
        <w:t>改</w:t>
      </w:r>
      <w:r>
        <w:rPr>
          <w:rFonts w:hint="eastAsia" w:ascii="仿宋" w:hAnsi="仿宋" w:eastAsia="仿宋" w:cs="宋体"/>
          <w:sz w:val="24"/>
          <w:highlight w:val="none"/>
        </w:rPr>
        <w:t>及</w:t>
      </w:r>
      <w:r>
        <w:rPr>
          <w:rFonts w:ascii="仿宋" w:hAnsi="仿宋" w:eastAsia="仿宋" w:cs="宋体"/>
          <w:sz w:val="24"/>
          <w:highlight w:val="none"/>
        </w:rPr>
        <w:t>拆迁类项目的</w:t>
      </w:r>
      <w:r>
        <w:rPr>
          <w:rFonts w:hint="eastAsia" w:ascii="仿宋" w:hAnsi="仿宋" w:eastAsia="仿宋" w:cs="宋体"/>
          <w:sz w:val="24"/>
          <w:highlight w:val="none"/>
        </w:rPr>
        <w:t>评估，所有成果文件符合国家及广东省资产评估标准并组织和确保通</w:t>
      </w:r>
      <w:r>
        <w:rPr>
          <w:rFonts w:hint="eastAsia" w:ascii="仿宋" w:hAnsi="仿宋" w:eastAsia="仿宋" w:cs="宋体"/>
          <w:sz w:val="24"/>
          <w:highlight w:val="none"/>
          <w:lang w:val="en-US" w:eastAsia="zh-CN"/>
        </w:rPr>
        <w:t>过</w:t>
      </w:r>
      <w:r>
        <w:rPr>
          <w:rFonts w:hint="eastAsia" w:ascii="仿宋" w:hAnsi="仿宋" w:eastAsia="仿宋" w:cs="宋体"/>
          <w:sz w:val="24"/>
          <w:highlight w:val="none"/>
        </w:rPr>
        <w:t>相关主管部门的评审。</w:t>
      </w:r>
    </w:p>
    <w:p w14:paraId="5A421470">
      <w:pPr>
        <w:numPr>
          <w:ilvl w:val="0"/>
          <w:numId w:val="0"/>
        </w:numPr>
        <w:spacing w:line="360" w:lineRule="auto"/>
        <w:ind w:left="0" w:right="-624" w:rightChars="-297" w:firstLine="480" w:firstLineChars="200"/>
        <w:rPr>
          <w:rFonts w:hint="eastAsia" w:ascii="仿宋" w:hAnsi="仿宋" w:eastAsia="仿宋" w:cs="宋体"/>
          <w:sz w:val="24"/>
          <w:highlight w:val="none"/>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二</w:t>
      </w:r>
      <w:r>
        <w:rPr>
          <w:rFonts w:hint="eastAsia" w:ascii="仿宋" w:hAnsi="仿宋" w:eastAsia="仿宋" w:cs="宋体"/>
          <w:sz w:val="24"/>
          <w:highlight w:val="none"/>
          <w:lang w:eastAsia="zh-CN"/>
        </w:rPr>
        <w:t>）</w:t>
      </w:r>
      <w:r>
        <w:rPr>
          <w:rFonts w:hint="eastAsia" w:ascii="仿宋" w:hAnsi="仿宋" w:eastAsia="仿宋" w:cs="宋体"/>
          <w:sz w:val="24"/>
          <w:highlight w:val="none"/>
        </w:rPr>
        <w:t>完成采购人指定该项目有关的包含但不仅限于土地、房屋建筑物、构筑物、设施设备、青苗</w:t>
      </w:r>
      <w:r>
        <w:rPr>
          <w:rFonts w:hint="eastAsia" w:ascii="仿宋" w:hAnsi="仿宋" w:eastAsia="仿宋" w:cs="宋体"/>
          <w:sz w:val="24"/>
          <w:highlight w:val="none"/>
          <w:lang w:val="en-US" w:eastAsia="zh-CN"/>
        </w:rPr>
        <w:t>及地上附着物</w:t>
      </w:r>
      <w:r>
        <w:rPr>
          <w:rFonts w:hint="eastAsia" w:ascii="仿宋" w:hAnsi="仿宋" w:eastAsia="仿宋" w:cs="宋体"/>
          <w:sz w:val="24"/>
          <w:highlight w:val="none"/>
        </w:rPr>
        <w:t>、搬迁费、建筑物装修费用、停产停业损失费用、租金、市场价值等资产及各项补偿费用评估，在保证质量并符合实际价值的前提下，出具评估报告书及补偿方案。</w:t>
      </w:r>
    </w:p>
    <w:p w14:paraId="40349648">
      <w:pPr>
        <w:pStyle w:val="12"/>
        <w:spacing w:line="560" w:lineRule="exact"/>
        <w:ind w:right="-624" w:rightChars="-297" w:firstLine="480" w:firstLineChars="200"/>
        <w:jc w:val="left"/>
        <w:rPr>
          <w:rFonts w:hint="default" w:ascii="仿宋" w:hAnsi="仿宋" w:eastAsia="仿宋" w:cs="仿宋"/>
          <w:color w:val="000000"/>
          <w:sz w:val="24"/>
          <w:szCs w:val="32"/>
          <w:highlight w:val="none"/>
          <w:lang w:val="en-US" w:eastAsia="zh-CN"/>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三</w:t>
      </w:r>
      <w:r>
        <w:rPr>
          <w:rFonts w:hint="eastAsia" w:ascii="仿宋" w:hAnsi="仿宋" w:eastAsia="仿宋" w:cs="宋体"/>
          <w:sz w:val="24"/>
          <w:highlight w:val="none"/>
          <w:lang w:eastAsia="zh-CN"/>
        </w:rPr>
        <w:t>）</w:t>
      </w:r>
      <w:r>
        <w:rPr>
          <w:rFonts w:hint="eastAsia" w:ascii="仿宋" w:hAnsi="仿宋" w:eastAsia="仿宋" w:cs="仿宋"/>
          <w:color w:val="000000"/>
          <w:sz w:val="24"/>
          <w:szCs w:val="32"/>
          <w:highlight w:val="none"/>
          <w:lang w:val="en-US" w:eastAsia="zh-CN"/>
        </w:rPr>
        <w:t>招标人如提出组织专家对评估报告书等成果文件进行评审，中标人应积极配合，并根据专家评审意见及时对评估报告等成果文件调整或修改情况进行书面反馈。</w:t>
      </w:r>
    </w:p>
    <w:p w14:paraId="29B220AD">
      <w:pPr>
        <w:numPr>
          <w:ilvl w:val="0"/>
          <w:numId w:val="0"/>
        </w:numPr>
        <w:spacing w:line="360" w:lineRule="auto"/>
        <w:ind w:left="0" w:right="-624" w:rightChars="-297" w:firstLine="480" w:firstLineChars="200"/>
        <w:rPr>
          <w:rFonts w:hint="eastAsia" w:ascii="仿宋" w:hAnsi="仿宋" w:eastAsia="仿宋" w:cs="宋体"/>
          <w:sz w:val="24"/>
          <w:highlight w:val="none"/>
          <w:lang w:eastAsia="zh-CN"/>
        </w:rPr>
      </w:pPr>
    </w:p>
    <w:p w14:paraId="7BCA3959">
      <w:pPr>
        <w:numPr>
          <w:ilvl w:val="0"/>
          <w:numId w:val="4"/>
        </w:numPr>
        <w:spacing w:line="360" w:lineRule="auto"/>
        <w:ind w:left="482" w:right="-624" w:rightChars="-297" w:hanging="482" w:hangingChars="200"/>
        <w:outlineLvl w:val="1"/>
        <w:rPr>
          <w:rFonts w:hint="eastAsia" w:ascii="仿宋" w:hAnsi="仿宋" w:eastAsia="仿宋" w:cs="宋体"/>
          <w:b/>
          <w:bCs/>
          <w:sz w:val="24"/>
          <w:highlight w:val="none"/>
        </w:rPr>
      </w:pPr>
      <w:r>
        <w:rPr>
          <w:rFonts w:hint="eastAsia" w:ascii="仿宋" w:hAnsi="仿宋" w:eastAsia="仿宋" w:cs="宋体"/>
          <w:b/>
          <w:bCs/>
          <w:sz w:val="24"/>
          <w:highlight w:val="none"/>
        </w:rPr>
        <w:t>价值评估要求</w:t>
      </w:r>
    </w:p>
    <w:p w14:paraId="22B47104">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（一）评估方法与参数选取要求</w:t>
      </w:r>
    </w:p>
    <w:p w14:paraId="36D135B9">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lang w:val="en-US" w:eastAsia="zh-CN"/>
        </w:rPr>
      </w:pPr>
      <w:r>
        <w:rPr>
          <w:rFonts w:hint="eastAsia" w:ascii="仿宋" w:hAnsi="仿宋" w:eastAsia="仿宋" w:cs="仿宋"/>
          <w:szCs w:val="32"/>
          <w:highlight w:val="none"/>
          <w:lang w:val="en-US" w:eastAsia="zh-CN"/>
        </w:rPr>
        <w:t>1</w:t>
      </w:r>
      <w:r>
        <w:rPr>
          <w:rFonts w:hint="eastAsia" w:ascii="仿宋" w:hAnsi="仿宋" w:eastAsia="仿宋" w:cs="仿宋"/>
          <w:szCs w:val="32"/>
          <w:highlight w:val="none"/>
        </w:rPr>
        <w:t>.</w:t>
      </w:r>
      <w:r>
        <w:rPr>
          <w:rFonts w:hint="eastAsia" w:ascii="仿宋" w:hAnsi="仿宋" w:eastAsia="仿宋" w:cs="仿宋"/>
          <w:szCs w:val="32"/>
          <w:highlight w:val="none"/>
          <w:lang w:val="en-US" w:eastAsia="zh-CN"/>
        </w:rPr>
        <w:t>中标人应科学选用评估方法、合理选取评估参数。原则上，对同一估价对象应选用两种及以上适宜的评估方法进行交叉验证；若因特殊情况舍弃某种适宜评估方法，须在评估报告中详细说明舍弃理由并充分论证其合理性。参数选取须严格遵循客观、公正、合理的原则，交易价格、租金水平、折现率等关键参数，需基于充分的市场真实数据调研，结合估价对象实际情况论证确定，同时完整留存参数选取依据及测算过程，确保评估结果具备科学性、合理性与可追溯性。</w:t>
      </w:r>
    </w:p>
    <w:p w14:paraId="498F2D13">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lang w:val="en-US" w:eastAsia="zh-CN"/>
        </w:rPr>
        <w:t>2.针对不同类型的估价对象，应分别列示其估价测算过程，明确各类型价值形成路径，保障测算逻辑清晰、全程可溯。</w:t>
      </w:r>
    </w:p>
    <w:p w14:paraId="33CDA000">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（二）执行标准</w:t>
      </w:r>
    </w:p>
    <w:p w14:paraId="6FEB37D3">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rPr>
        <w:t>执行国家、广东省、珠海市现行法律法规及相关规定要求</w:t>
      </w:r>
      <w:r>
        <w:rPr>
          <w:rFonts w:hint="eastAsia" w:ascii="仿宋" w:hAnsi="仿宋" w:eastAsia="仿宋" w:cs="仿宋"/>
          <w:szCs w:val="32"/>
          <w:highlight w:val="none"/>
          <w:lang w:eastAsia="zh-CN"/>
        </w:rPr>
        <w:t>，</w:t>
      </w:r>
      <w:r>
        <w:rPr>
          <w:rFonts w:hint="eastAsia" w:ascii="仿宋" w:hAnsi="仿宋" w:eastAsia="仿宋" w:cs="仿宋"/>
          <w:szCs w:val="32"/>
          <w:highlight w:val="none"/>
        </w:rPr>
        <w:t>包括但不限于《珠海市市属国有企业资产评估管理办法》（珠国资〔2025〕11号）。</w:t>
      </w:r>
    </w:p>
    <w:p w14:paraId="409C8F8E">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（三）其他事项</w:t>
      </w:r>
    </w:p>
    <w:p w14:paraId="2AFD6804">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lang w:val="en-US" w:eastAsia="zh-CN"/>
        </w:rPr>
        <w:t>1.选聘的评估机构应当具有与评估事项相适应的资质条件、评估专业人员、评估经验和专业特长，遵守国家有关法律法规以及资产评估管理相关规定，近3年内无违法违规从业记录及不良信用记录。</w:t>
      </w:r>
    </w:p>
    <w:p w14:paraId="56838AB1">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lang w:val="en-US" w:eastAsia="zh-CN"/>
        </w:rPr>
        <w:t>2.</w:t>
      </w:r>
      <w:r>
        <w:rPr>
          <w:rFonts w:hint="eastAsia" w:ascii="仿宋" w:hAnsi="仿宋" w:eastAsia="仿宋" w:cs="仿宋"/>
          <w:szCs w:val="32"/>
          <w:highlight w:val="none"/>
        </w:rPr>
        <w:t>若两家或以上评估公司在同一集采年度开展评估，中标评估公司应按项目组织业务协调会，</w:t>
      </w:r>
      <w:r>
        <w:rPr>
          <w:rFonts w:hint="eastAsia" w:ascii="仿宋" w:hAnsi="仿宋" w:eastAsia="仿宋" w:cs="仿宋"/>
          <w:szCs w:val="32"/>
          <w:highlight w:val="none"/>
          <w:lang w:val="en-US" w:eastAsia="zh-CN"/>
        </w:rPr>
        <w:t>或以其他方式，</w:t>
      </w:r>
      <w:r>
        <w:rPr>
          <w:rFonts w:hint="eastAsia" w:ascii="仿宋" w:hAnsi="仿宋" w:eastAsia="仿宋" w:cs="仿宋"/>
          <w:szCs w:val="32"/>
          <w:highlight w:val="none"/>
        </w:rPr>
        <w:t>对同一更新或做地项目的评估方法和重要参数选取等方面进行充分沟通，统一标准，并形成书面记录向评估需求公司提交。</w:t>
      </w:r>
    </w:p>
    <w:p w14:paraId="5E66274F">
      <w:pPr>
        <w:pStyle w:val="13"/>
        <w:spacing w:before="0" w:beforeAutospacing="0" w:after="0" w:afterAutospacing="0" w:line="432" w:lineRule="auto"/>
        <w:ind w:right="-624" w:rightChars="-297" w:firstLine="480" w:firstLineChars="200"/>
        <w:rPr>
          <w:rFonts w:hint="default" w:ascii="仿宋" w:hAnsi="仿宋" w:eastAsia="仿宋" w:cs="仿宋"/>
          <w:szCs w:val="32"/>
          <w:highlight w:val="none"/>
          <w:lang w:val="en-US" w:eastAsia="zh-CN"/>
        </w:rPr>
      </w:pPr>
      <w:r>
        <w:rPr>
          <w:rFonts w:hint="eastAsia" w:ascii="仿宋" w:hAnsi="仿宋" w:eastAsia="仿宋" w:cs="仿宋"/>
          <w:szCs w:val="32"/>
          <w:highlight w:val="none"/>
          <w:lang w:val="en-US" w:eastAsia="zh-CN"/>
        </w:rPr>
        <w:t>3.对于前期已由其他评估公司开展评估的更新或做地项目，本年度集采中标单位</w:t>
      </w:r>
      <w:r>
        <w:rPr>
          <w:rFonts w:hint="eastAsia" w:ascii="仿宋" w:hAnsi="仿宋" w:eastAsia="仿宋" w:cs="仿宋"/>
          <w:szCs w:val="32"/>
          <w:highlight w:val="none"/>
        </w:rPr>
        <w:t>应</w:t>
      </w:r>
      <w:r>
        <w:rPr>
          <w:rFonts w:hint="eastAsia" w:ascii="仿宋" w:hAnsi="仿宋" w:eastAsia="仿宋" w:cs="仿宋"/>
          <w:szCs w:val="32"/>
          <w:highlight w:val="none"/>
          <w:lang w:val="en-US" w:eastAsia="zh-CN"/>
        </w:rPr>
        <w:t>根据</w:t>
      </w:r>
      <w:r>
        <w:rPr>
          <w:rFonts w:hint="eastAsia" w:ascii="仿宋" w:hAnsi="仿宋" w:eastAsia="仿宋" w:cs="仿宋"/>
          <w:szCs w:val="32"/>
          <w:highlight w:val="none"/>
        </w:rPr>
        <w:t>评估标的的类别，与前期同一或相邻物业的评估公司取得联系，获取并了解前期物业评估公司在评估对象、评估时点、价值内涵、评估依据、评估假设、评估原则、评估技术路线、评估方法、重要参数选取、评估结果确定方式等方面的信息，原则上应与前期物业的评估公司适用统一的标准。如因市场价格波动、资产状况、法律权属等特殊原因需进行调整，应在沟通过程记录中载明。</w:t>
      </w:r>
      <w:r>
        <w:rPr>
          <w:rFonts w:hint="default" w:ascii="仿宋" w:hAnsi="仿宋" w:eastAsia="仿宋" w:cs="仿宋"/>
          <w:szCs w:val="32"/>
          <w:highlight w:val="none"/>
        </w:rPr>
        <w:t>沟通方式包括但不限于邮件、参加公司运营部门组织的业务协调会等，评估公司在出具评估报告时应将书面沟通过程记录向公司一并提供。</w:t>
      </w:r>
    </w:p>
    <w:p w14:paraId="03A7EC7B">
      <w:pPr>
        <w:numPr>
          <w:ilvl w:val="0"/>
          <w:numId w:val="4"/>
        </w:numPr>
        <w:spacing w:line="360" w:lineRule="auto"/>
        <w:ind w:left="482" w:right="-624" w:rightChars="-297" w:hanging="482" w:hangingChars="200"/>
        <w:outlineLvl w:val="1"/>
        <w:rPr>
          <w:rFonts w:hint="eastAsia" w:ascii="仿宋" w:hAnsi="仿宋" w:eastAsia="仿宋" w:cs="宋体"/>
          <w:b/>
          <w:bCs/>
          <w:sz w:val="24"/>
          <w:highlight w:val="none"/>
        </w:rPr>
      </w:pPr>
      <w:r>
        <w:rPr>
          <w:rFonts w:hint="eastAsia" w:ascii="仿宋" w:hAnsi="仿宋" w:eastAsia="仿宋" w:cs="宋体"/>
          <w:b/>
          <w:bCs/>
          <w:sz w:val="24"/>
          <w:highlight w:val="none"/>
        </w:rPr>
        <w:t>工期及成果要求</w:t>
      </w:r>
    </w:p>
    <w:p w14:paraId="4949C052">
      <w:pPr>
        <w:numPr>
          <w:ilvl w:val="0"/>
          <w:numId w:val="0"/>
        </w:numPr>
        <w:spacing w:line="360" w:lineRule="auto"/>
        <w:ind w:left="0" w:right="-624" w:rightChars="-297" w:firstLine="480" w:firstLineChars="200"/>
        <w:rPr>
          <w:rFonts w:ascii="仿宋" w:hAnsi="仿宋" w:eastAsia="仿宋" w:cs="宋体"/>
          <w:sz w:val="24"/>
          <w:highlight w:val="none"/>
        </w:rPr>
      </w:pP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一</w:t>
      </w:r>
      <w:r>
        <w:rPr>
          <w:rFonts w:hint="eastAsia" w:ascii="仿宋" w:hAnsi="仿宋" w:eastAsia="仿宋" w:cs="仿宋"/>
          <w:sz w:val="24"/>
          <w:highlight w:val="none"/>
          <w:lang w:eastAsia="zh-CN"/>
        </w:rPr>
        <w:t>）</w:t>
      </w:r>
      <w:r>
        <w:rPr>
          <w:rFonts w:hint="eastAsia" w:ascii="仿宋" w:hAnsi="仿宋" w:eastAsia="仿宋" w:cs="仿宋"/>
          <w:sz w:val="24"/>
          <w:highlight w:val="none"/>
        </w:rPr>
        <w:t>中标后，接到正式评估委托函之日起在招标人规定工作日内提交</w:t>
      </w:r>
      <w:r>
        <w:rPr>
          <w:rFonts w:hint="eastAsia" w:ascii="仿宋" w:hAnsi="仿宋" w:eastAsia="仿宋" w:cs="仿宋"/>
          <w:sz w:val="24"/>
          <w:highlight w:val="none"/>
          <w:lang w:val="en-US" w:eastAsia="zh-CN"/>
        </w:rPr>
        <w:t>评估</w:t>
      </w:r>
      <w:r>
        <w:rPr>
          <w:rFonts w:hint="eastAsia" w:ascii="仿宋" w:hAnsi="仿宋" w:eastAsia="仿宋" w:cs="仿宋"/>
          <w:sz w:val="24"/>
          <w:highlight w:val="none"/>
        </w:rPr>
        <w:t>报告初稿，初评报告应为包含评估结果报告、评估技术报告、附件等在内的完整报告。。</w:t>
      </w:r>
    </w:p>
    <w:p w14:paraId="608EE154">
      <w:pPr>
        <w:numPr>
          <w:ilvl w:val="0"/>
          <w:numId w:val="0"/>
        </w:numPr>
        <w:spacing w:line="360" w:lineRule="auto"/>
        <w:ind w:left="0" w:right="-624" w:rightChars="-297" w:firstLine="480" w:firstLineChars="200"/>
        <w:rPr>
          <w:rFonts w:hint="eastAsia" w:ascii="仿宋" w:hAnsi="仿宋" w:eastAsia="仿宋" w:cs="宋体"/>
          <w:sz w:val="24"/>
          <w:highlight w:val="none"/>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二</w:t>
      </w:r>
      <w:r>
        <w:rPr>
          <w:rFonts w:hint="eastAsia" w:ascii="仿宋" w:hAnsi="仿宋" w:eastAsia="仿宋" w:cs="宋体"/>
          <w:sz w:val="24"/>
          <w:highlight w:val="none"/>
          <w:lang w:eastAsia="zh-CN"/>
        </w:rPr>
        <w:t>）</w:t>
      </w:r>
      <w:r>
        <w:rPr>
          <w:rFonts w:hint="eastAsia" w:ascii="仿宋" w:hAnsi="仿宋" w:eastAsia="仿宋" w:cs="宋体"/>
          <w:sz w:val="24"/>
          <w:highlight w:val="none"/>
        </w:rPr>
        <w:t>中标单位须按节点要求协助招标人完成报审报批手续；（因乙方责任导致工期延误，应以每延误1个日历天按人民币1000元的标准计算违约金支付给甲方。如果延误工期累积超过7个日历日，则甲方有权减少乙方的工作范围或终止合同，并有权聘请其他单位执行乙方未能完成的工程，由此产生的一切损失和赔偿由乙方承担，甲方可直接从应付给乙方的款项中扣除。乙方不能因此向甲方提出任何异议和索赔任何因此而引致的额外费用。</w:t>
      </w:r>
    </w:p>
    <w:p w14:paraId="768DDC47">
      <w:pPr>
        <w:pStyle w:val="13"/>
        <w:numPr>
          <w:ilvl w:val="0"/>
          <w:numId w:val="0"/>
        </w:numPr>
        <w:spacing w:before="0" w:beforeAutospacing="0" w:after="0" w:afterAutospacing="0" w:line="432" w:lineRule="auto"/>
        <w:ind w:left="0"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lang w:eastAsia="zh-CN"/>
        </w:rPr>
        <w:t>（</w:t>
      </w:r>
      <w:r>
        <w:rPr>
          <w:rFonts w:hint="eastAsia" w:ascii="仿宋" w:hAnsi="仿宋" w:eastAsia="仿宋" w:cs="仿宋"/>
          <w:szCs w:val="32"/>
          <w:highlight w:val="none"/>
          <w:lang w:val="en-US" w:eastAsia="zh-CN"/>
        </w:rPr>
        <w:t>三</w:t>
      </w:r>
      <w:r>
        <w:rPr>
          <w:rFonts w:hint="eastAsia" w:ascii="仿宋" w:hAnsi="仿宋" w:eastAsia="仿宋" w:cs="仿宋"/>
          <w:szCs w:val="32"/>
          <w:highlight w:val="none"/>
          <w:lang w:eastAsia="zh-CN"/>
        </w:rPr>
        <w:t>）</w:t>
      </w:r>
      <w:r>
        <w:rPr>
          <w:rFonts w:hint="eastAsia" w:ascii="仿宋" w:hAnsi="仿宋" w:eastAsia="仿宋" w:cs="仿宋"/>
          <w:szCs w:val="32"/>
          <w:highlight w:val="none"/>
        </w:rPr>
        <w:t>如招标人对</w:t>
      </w:r>
      <w:r>
        <w:rPr>
          <w:rFonts w:hint="eastAsia" w:ascii="仿宋" w:hAnsi="仿宋" w:eastAsia="仿宋" w:cs="仿宋"/>
          <w:szCs w:val="32"/>
          <w:highlight w:val="none"/>
          <w:lang w:val="en-US" w:eastAsia="zh-CN"/>
        </w:rPr>
        <w:t>评估</w:t>
      </w:r>
      <w:r>
        <w:rPr>
          <w:rFonts w:hint="eastAsia" w:ascii="仿宋" w:hAnsi="仿宋" w:eastAsia="仿宋" w:cs="仿宋"/>
          <w:szCs w:val="32"/>
          <w:highlight w:val="none"/>
        </w:rPr>
        <w:t>报告初稿有修改意见，需在招标人提出修改意见后的3个工作日内作出修改；如招标人无相关修改意见，则在招标人确认通知后的1个工作日内出具正式盖章的咨询报告。</w:t>
      </w:r>
    </w:p>
    <w:p w14:paraId="26427C6A">
      <w:pPr>
        <w:numPr>
          <w:ilvl w:val="0"/>
          <w:numId w:val="0"/>
        </w:numPr>
        <w:spacing w:line="360" w:lineRule="auto"/>
        <w:ind w:left="0" w:right="-624" w:rightChars="-297" w:firstLine="480" w:firstLineChars="200"/>
        <w:rPr>
          <w:rFonts w:ascii="仿宋" w:hAnsi="仿宋" w:eastAsia="仿宋" w:cs="宋体"/>
          <w:sz w:val="24"/>
          <w:highlight w:val="none"/>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四</w:t>
      </w:r>
      <w:r>
        <w:rPr>
          <w:rFonts w:hint="eastAsia" w:ascii="仿宋" w:hAnsi="仿宋" w:eastAsia="仿宋" w:cs="宋体"/>
          <w:sz w:val="24"/>
          <w:highlight w:val="none"/>
          <w:lang w:eastAsia="zh-CN"/>
        </w:rPr>
        <w:t>）</w:t>
      </w:r>
      <w:r>
        <w:rPr>
          <w:rFonts w:hint="eastAsia" w:ascii="仿宋" w:hAnsi="仿宋" w:eastAsia="仿宋" w:cs="宋体"/>
          <w:sz w:val="24"/>
          <w:highlight w:val="none"/>
        </w:rPr>
        <w:t>服务期限为中标通知书发出之日起至中标人提交成果符合招标文件规定的质量控制目标止。</w:t>
      </w:r>
    </w:p>
    <w:p w14:paraId="6488F3DA">
      <w:pPr>
        <w:numPr>
          <w:ilvl w:val="0"/>
          <w:numId w:val="0"/>
        </w:numPr>
        <w:spacing w:line="360" w:lineRule="auto"/>
        <w:ind w:left="0" w:right="-624" w:rightChars="-297" w:firstLine="480" w:firstLineChars="200"/>
        <w:rPr>
          <w:rFonts w:hint="eastAsia" w:ascii="仿宋" w:hAnsi="仿宋" w:eastAsia="仿宋" w:cs="宋体"/>
          <w:sz w:val="24"/>
          <w:highlight w:val="none"/>
        </w:rPr>
      </w:pPr>
      <w:r>
        <w:rPr>
          <w:rFonts w:hint="eastAsia" w:ascii="仿宋" w:hAnsi="仿宋" w:eastAsia="仿宋" w:cs="宋体"/>
          <w:sz w:val="24"/>
          <w:highlight w:val="none"/>
          <w:lang w:eastAsia="zh-CN"/>
        </w:rPr>
        <w:t>（</w:t>
      </w:r>
      <w:r>
        <w:rPr>
          <w:rFonts w:hint="eastAsia" w:ascii="仿宋" w:hAnsi="仿宋" w:eastAsia="仿宋" w:cs="宋体"/>
          <w:sz w:val="24"/>
          <w:highlight w:val="none"/>
          <w:lang w:val="en-US" w:eastAsia="zh-CN"/>
        </w:rPr>
        <w:t>五</w:t>
      </w:r>
      <w:r>
        <w:rPr>
          <w:rFonts w:hint="eastAsia" w:ascii="仿宋" w:hAnsi="仿宋" w:eastAsia="仿宋" w:cs="宋体"/>
          <w:sz w:val="24"/>
          <w:highlight w:val="none"/>
          <w:lang w:eastAsia="zh-CN"/>
        </w:rPr>
        <w:t>）</w:t>
      </w:r>
      <w:r>
        <w:rPr>
          <w:rFonts w:hint="eastAsia" w:ascii="仿宋" w:hAnsi="仿宋" w:eastAsia="仿宋" w:cs="宋体"/>
          <w:sz w:val="24"/>
          <w:highlight w:val="none"/>
        </w:rPr>
        <w:t>其他事项：评估报告出具后，须装订纸质版</w:t>
      </w:r>
      <w:r>
        <w:rPr>
          <w:rFonts w:hint="eastAsia" w:ascii="仿宋" w:hAnsi="仿宋" w:eastAsia="仿宋" w:cs="宋体"/>
          <w:b/>
          <w:sz w:val="24"/>
          <w:highlight w:val="none"/>
          <w:u w:val="single"/>
        </w:rPr>
        <w:t>一式3份（另电子版1份）</w:t>
      </w:r>
      <w:r>
        <w:rPr>
          <w:rFonts w:hint="eastAsia" w:ascii="仿宋" w:hAnsi="仿宋" w:eastAsia="仿宋" w:cs="宋体"/>
          <w:sz w:val="24"/>
          <w:highlight w:val="none"/>
        </w:rPr>
        <w:t>成果文件送招标人存档。</w:t>
      </w:r>
    </w:p>
    <w:p w14:paraId="744641F9">
      <w:pPr>
        <w:spacing w:line="360" w:lineRule="auto"/>
        <w:ind w:left="425" w:right="-624" w:rightChars="-297"/>
        <w:jc w:val="center"/>
        <w:outlineLvl w:val="0"/>
        <w:rPr>
          <w:rFonts w:ascii="仿宋" w:hAnsi="仿宋" w:eastAsia="仿宋" w:cs="宋体"/>
          <w:sz w:val="24"/>
          <w:highlight w:val="none"/>
        </w:rPr>
      </w:pPr>
      <w:bookmarkStart w:id="0" w:name="_Toc14777"/>
      <w:bookmarkEnd w:id="0"/>
      <w:r>
        <w:rPr>
          <w:rFonts w:ascii="仿宋" w:hAnsi="仿宋" w:eastAsia="仿宋" w:cs="宋体"/>
          <w:sz w:val="24"/>
          <w:highlight w:val="none"/>
        </w:rPr>
        <w:br w:type="page"/>
      </w:r>
      <w:r>
        <w:rPr>
          <w:rFonts w:hint="eastAsia" w:ascii="仿宋" w:hAnsi="仿宋" w:eastAsia="仿宋" w:cs="宋体"/>
          <w:b/>
          <w:bCs/>
          <w:sz w:val="28"/>
          <w:szCs w:val="28"/>
          <w:highlight w:val="none"/>
        </w:rPr>
        <w:t>第</w:t>
      </w:r>
      <w:r>
        <w:rPr>
          <w:rFonts w:ascii="仿宋" w:hAnsi="仿宋" w:eastAsia="仿宋" w:cs="宋体"/>
          <w:b/>
          <w:bCs/>
          <w:sz w:val="28"/>
          <w:szCs w:val="28"/>
          <w:highlight w:val="none"/>
        </w:rPr>
        <w:t>三部分</w:t>
      </w:r>
      <w:r>
        <w:rPr>
          <w:rFonts w:hint="eastAsia" w:ascii="仿宋" w:hAnsi="仿宋" w:eastAsia="仿宋" w:cs="宋体"/>
          <w:b/>
          <w:bCs/>
          <w:sz w:val="28"/>
          <w:highlight w:val="none"/>
        </w:rPr>
        <w:t xml:space="preserve">  普</w:t>
      </w:r>
      <w:r>
        <w:rPr>
          <w:rFonts w:ascii="仿宋" w:hAnsi="仿宋" w:eastAsia="仿宋" w:cs="宋体"/>
          <w:b/>
          <w:bCs/>
          <w:sz w:val="28"/>
          <w:highlight w:val="none"/>
        </w:rPr>
        <w:t>适类项目</w:t>
      </w:r>
      <w:r>
        <w:rPr>
          <w:rFonts w:hint="eastAsia" w:ascii="仿宋" w:hAnsi="仿宋" w:eastAsia="仿宋" w:cs="宋体"/>
          <w:b/>
          <w:sz w:val="28"/>
          <w:highlight w:val="none"/>
        </w:rPr>
        <w:t>评估服务</w:t>
      </w:r>
    </w:p>
    <w:p w14:paraId="3309771F">
      <w:pPr>
        <w:pStyle w:val="12"/>
        <w:spacing w:line="560" w:lineRule="exact"/>
        <w:ind w:right="-624" w:rightChars="-297"/>
        <w:jc w:val="left"/>
        <w:rPr>
          <w:rFonts w:ascii="仿宋" w:hAnsi="仿宋" w:eastAsia="仿宋" w:cs="仿宋"/>
          <w:sz w:val="24"/>
          <w:szCs w:val="32"/>
          <w:highlight w:val="none"/>
          <w:lang w:val="en-US"/>
        </w:rPr>
      </w:pPr>
    </w:p>
    <w:p w14:paraId="54FB97F6">
      <w:pPr>
        <w:pStyle w:val="12"/>
        <w:numPr>
          <w:ilvl w:val="0"/>
          <w:numId w:val="5"/>
        </w:numPr>
        <w:spacing w:line="560" w:lineRule="exact"/>
        <w:ind w:right="-624" w:rightChars="-297"/>
        <w:jc w:val="both"/>
        <w:outlineLvl w:val="1"/>
        <w:rPr>
          <w:rFonts w:ascii="仿宋" w:hAnsi="仿宋" w:eastAsia="仿宋" w:cs="黑体"/>
          <w:b/>
          <w:sz w:val="24"/>
          <w:szCs w:val="32"/>
          <w:highlight w:val="none"/>
        </w:rPr>
      </w:pPr>
      <w:r>
        <w:rPr>
          <w:rFonts w:hint="eastAsia" w:ascii="仿宋" w:hAnsi="仿宋" w:eastAsia="仿宋" w:cs="黑体"/>
          <w:b/>
          <w:color w:val="000000"/>
          <w:sz w:val="24"/>
          <w:szCs w:val="32"/>
          <w:highlight w:val="none"/>
        </w:rPr>
        <w:t>具体服务内容</w:t>
      </w:r>
    </w:p>
    <w:p w14:paraId="55C3542D">
      <w:pPr>
        <w:pStyle w:val="12"/>
        <w:numPr>
          <w:ilvl w:val="0"/>
          <w:numId w:val="6"/>
        </w:numPr>
        <w:spacing w:line="560" w:lineRule="exact"/>
        <w:ind w:right="-624" w:rightChars="-297" w:firstLine="480" w:firstLineChars="200"/>
        <w:jc w:val="left"/>
        <w:rPr>
          <w:rFonts w:hint="eastAsia" w:ascii="仿宋" w:hAnsi="仿宋" w:eastAsia="仿宋" w:cs="仿宋"/>
          <w:color w:val="000000"/>
          <w:sz w:val="24"/>
          <w:szCs w:val="32"/>
          <w:highlight w:val="none"/>
        </w:rPr>
      </w:pP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完成</w:t>
      </w:r>
      <w:r>
        <w:rPr>
          <w:rFonts w:hint="eastAsia" w:ascii="仿宋" w:hAnsi="仿宋" w:eastAsia="仿宋" w:cs="仿宋"/>
          <w:color w:val="000000"/>
          <w:sz w:val="24"/>
          <w:szCs w:val="32"/>
          <w:highlight w:val="none"/>
          <w:lang w:val="en-US" w:eastAsia="zh-CN"/>
        </w:rPr>
        <w:t>招标人</w:t>
      </w:r>
      <w:r>
        <w:rPr>
          <w:rFonts w:hint="eastAsia" w:ascii="仿宋" w:hAnsi="仿宋" w:eastAsia="仿宋" w:cs="仿宋"/>
          <w:color w:val="000000"/>
          <w:sz w:val="24"/>
          <w:szCs w:val="32"/>
          <w:highlight w:val="none"/>
        </w:rPr>
        <w:t>及</w:t>
      </w:r>
      <w:r>
        <w:rPr>
          <w:rFonts w:hint="eastAsia" w:ascii="仿宋" w:hAnsi="仿宋" w:eastAsia="仿宋" w:cs="仿宋"/>
          <w:color w:val="000000"/>
          <w:sz w:val="24"/>
          <w:szCs w:val="32"/>
          <w:highlight w:val="none"/>
          <w:lang w:val="en-US" w:eastAsia="zh-CN"/>
        </w:rPr>
        <w:t>其管理的</w:t>
      </w:r>
      <w:r>
        <w:rPr>
          <w:rFonts w:hint="eastAsia" w:ascii="仿宋" w:hAnsi="仿宋" w:eastAsia="仿宋" w:cs="仿宋"/>
          <w:color w:val="000000"/>
          <w:sz w:val="24"/>
          <w:szCs w:val="32"/>
          <w:highlight w:val="none"/>
        </w:rPr>
        <w:t>公司业务范围</w:t>
      </w:r>
      <w:r>
        <w:rPr>
          <w:rFonts w:hint="eastAsia" w:ascii="仿宋" w:hAnsi="仿宋" w:eastAsia="仿宋" w:cs="仿宋"/>
          <w:color w:val="000000"/>
          <w:sz w:val="24"/>
          <w:szCs w:val="32"/>
          <w:highlight w:val="none"/>
          <w:lang w:val="en-US" w:eastAsia="zh-CN"/>
        </w:rPr>
        <w:t>内</w:t>
      </w:r>
      <w:r>
        <w:rPr>
          <w:rFonts w:hint="eastAsia" w:ascii="仿宋" w:hAnsi="仿宋" w:eastAsia="仿宋" w:cs="仿宋"/>
          <w:color w:val="000000"/>
          <w:sz w:val="24"/>
          <w:szCs w:val="32"/>
          <w:highlight w:val="none"/>
        </w:rPr>
        <w:t>所指定的项目价值评估，包括</w:t>
      </w:r>
      <w:r>
        <w:rPr>
          <w:rFonts w:hint="eastAsia" w:ascii="仿宋" w:hAnsi="仿宋" w:eastAsia="仿宋" w:cs="仿宋"/>
          <w:color w:val="000000"/>
          <w:sz w:val="24"/>
          <w:szCs w:val="32"/>
          <w:highlight w:val="none"/>
          <w:lang w:val="en-US" w:eastAsia="zh-CN"/>
        </w:rPr>
        <w:t>但</w:t>
      </w:r>
      <w:r>
        <w:rPr>
          <w:rFonts w:hint="eastAsia" w:ascii="仿宋" w:hAnsi="仿宋" w:eastAsia="仿宋" w:cs="仿宋"/>
          <w:color w:val="000000"/>
          <w:sz w:val="24"/>
          <w:szCs w:val="32"/>
          <w:highlight w:val="none"/>
        </w:rPr>
        <w:t>不限于该项目内物业的土地价值评估</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rPr>
        <w:t>不动产价值评估、资产价值评估</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含土石方）</w:t>
      </w:r>
      <w:r>
        <w:rPr>
          <w:rFonts w:hint="eastAsia" w:ascii="仿宋" w:hAnsi="仿宋" w:eastAsia="仿宋" w:cs="仿宋"/>
          <w:color w:val="000000"/>
          <w:sz w:val="24"/>
          <w:szCs w:val="32"/>
          <w:highlight w:val="none"/>
        </w:rPr>
        <w:t>、</w:t>
      </w:r>
      <w:r>
        <w:rPr>
          <w:rFonts w:hint="eastAsia" w:ascii="仿宋" w:hAnsi="仿宋" w:eastAsia="仿宋" w:cs="仿宋"/>
          <w:color w:val="000000"/>
          <w:sz w:val="24"/>
          <w:szCs w:val="32"/>
          <w:highlight w:val="none"/>
          <w:lang w:val="en-US" w:eastAsia="zh-CN"/>
        </w:rPr>
        <w:t>残余价值评估（不含建筑物、构筑物残值）、</w:t>
      </w:r>
      <w:r>
        <w:rPr>
          <w:rFonts w:hint="eastAsia" w:ascii="仿宋" w:hAnsi="仿宋" w:eastAsia="仿宋" w:cs="仿宋"/>
          <w:color w:val="000000"/>
          <w:sz w:val="24"/>
          <w:szCs w:val="32"/>
          <w:highlight w:val="none"/>
        </w:rPr>
        <w:t>地上附属物价值评估、装修价值评估、不动产</w:t>
      </w:r>
      <w:r>
        <w:rPr>
          <w:rFonts w:hint="eastAsia" w:ascii="仿宋" w:hAnsi="仿宋" w:eastAsia="仿宋" w:cs="仿宋"/>
          <w:color w:val="000000"/>
          <w:sz w:val="24"/>
          <w:szCs w:val="32"/>
          <w:highlight w:val="none"/>
          <w:lang w:val="en-US" w:eastAsia="zh-CN"/>
        </w:rPr>
        <w:t>市场售价评估、</w:t>
      </w:r>
      <w:r>
        <w:rPr>
          <w:rFonts w:hint="eastAsia" w:ascii="仿宋" w:hAnsi="仿宋" w:eastAsia="仿宋" w:cs="仿宋"/>
          <w:color w:val="000000"/>
          <w:sz w:val="24"/>
          <w:szCs w:val="32"/>
          <w:highlight w:val="none"/>
        </w:rPr>
        <w:t>不动产</w:t>
      </w:r>
      <w:r>
        <w:rPr>
          <w:rFonts w:hint="eastAsia" w:ascii="仿宋" w:hAnsi="仿宋" w:eastAsia="仿宋" w:cs="仿宋"/>
          <w:color w:val="000000"/>
          <w:sz w:val="24"/>
          <w:szCs w:val="32"/>
          <w:highlight w:val="none"/>
          <w:lang w:val="en-US" w:eastAsia="zh-CN"/>
        </w:rPr>
        <w:t>重置成本价评估、企业净资产评估</w:t>
      </w:r>
      <w:r>
        <w:rPr>
          <w:rFonts w:hint="eastAsia" w:ascii="仿宋" w:hAnsi="仿宋" w:eastAsia="仿宋" w:cs="仿宋"/>
          <w:color w:val="000000"/>
          <w:sz w:val="24"/>
          <w:szCs w:val="32"/>
          <w:highlight w:val="none"/>
        </w:rPr>
        <w:t>等</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在保证质量并符合实际价值的前提下，编制并出具评估报告书</w:t>
      </w:r>
      <w:r>
        <w:rPr>
          <w:rFonts w:hint="eastAsia" w:ascii="仿宋" w:hAnsi="仿宋" w:eastAsia="仿宋" w:cs="仿宋"/>
          <w:color w:val="000000"/>
          <w:sz w:val="24"/>
          <w:szCs w:val="32"/>
          <w:highlight w:val="none"/>
          <w:lang w:val="en-US" w:eastAsia="zh-CN"/>
        </w:rPr>
        <w:t>等成果文件</w:t>
      </w:r>
      <w:r>
        <w:rPr>
          <w:rFonts w:hint="eastAsia" w:ascii="仿宋" w:hAnsi="仿宋" w:eastAsia="仿宋" w:cs="仿宋"/>
          <w:color w:val="000000"/>
          <w:sz w:val="24"/>
          <w:szCs w:val="32"/>
          <w:highlight w:val="none"/>
        </w:rPr>
        <w:t>。</w:t>
      </w:r>
      <w:r>
        <w:rPr>
          <w:rFonts w:hint="eastAsia" w:ascii="仿宋" w:hAnsi="仿宋" w:eastAsia="仿宋" w:cs="仿宋"/>
          <w:color w:val="000000"/>
          <w:sz w:val="24"/>
          <w:szCs w:val="32"/>
          <w:highlight w:val="none"/>
          <w:lang w:val="en-US" w:eastAsia="zh-CN"/>
        </w:rPr>
        <w:t>中标人按时提供相关成果文件给</w:t>
      </w:r>
      <w:r>
        <w:rPr>
          <w:rFonts w:hint="eastAsia" w:ascii="仿宋" w:hAnsi="仿宋" w:eastAsia="仿宋" w:cs="仿宋"/>
          <w:color w:val="000000"/>
          <w:sz w:val="24"/>
          <w:szCs w:val="32"/>
          <w:highlight w:val="none"/>
        </w:rPr>
        <w:t>招标人</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rPr>
        <w:t>所有成果文件</w:t>
      </w:r>
      <w:r>
        <w:rPr>
          <w:rFonts w:hint="eastAsia" w:ascii="仿宋" w:hAnsi="仿宋" w:eastAsia="仿宋" w:cs="仿宋"/>
          <w:color w:val="000000"/>
          <w:sz w:val="24"/>
          <w:szCs w:val="32"/>
          <w:highlight w:val="none"/>
          <w:lang w:val="en-US" w:eastAsia="zh-CN"/>
        </w:rPr>
        <w:t>须</w:t>
      </w:r>
      <w:r>
        <w:rPr>
          <w:rFonts w:hint="eastAsia" w:ascii="仿宋" w:hAnsi="仿宋" w:eastAsia="仿宋" w:cs="仿宋"/>
          <w:color w:val="000000"/>
          <w:sz w:val="24"/>
          <w:szCs w:val="32"/>
          <w:highlight w:val="none"/>
        </w:rPr>
        <w:t>符合国家及广东省资产评估标准。</w:t>
      </w:r>
    </w:p>
    <w:p w14:paraId="1EE97B23">
      <w:pPr>
        <w:pStyle w:val="12"/>
        <w:numPr>
          <w:ilvl w:val="0"/>
          <w:numId w:val="0"/>
        </w:numPr>
        <w:spacing w:line="560" w:lineRule="exact"/>
        <w:ind w:right="-624" w:rightChars="-297" w:firstLine="480" w:firstLineChars="200"/>
        <w:jc w:val="left"/>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注：上述评估服务单次评估项目对应资产盘点清单项数≤200项，超过200项不适用本项目范围。</w:t>
      </w:r>
    </w:p>
    <w:p w14:paraId="34535407">
      <w:pPr>
        <w:pStyle w:val="12"/>
        <w:spacing w:line="560" w:lineRule="exact"/>
        <w:ind w:right="-624" w:rightChars="-297" w:firstLine="566" w:firstLineChars="236"/>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（二）</w:t>
      </w:r>
      <w:r>
        <w:rPr>
          <w:rFonts w:hint="eastAsia" w:ascii="仿宋" w:hAnsi="仿宋" w:eastAsia="仿宋" w:cs="仿宋"/>
          <w:sz w:val="24"/>
          <w:szCs w:val="32"/>
          <w:highlight w:val="none"/>
        </w:rPr>
        <w:t>中标人对招标人免费提供以上第（一）点所包含的项目价值预评估服务及数据</w:t>
      </w:r>
      <w:r>
        <w:rPr>
          <w:rFonts w:hint="eastAsia" w:ascii="仿宋" w:hAnsi="仿宋" w:eastAsia="仿宋" w:cs="仿宋"/>
          <w:color w:val="000000"/>
          <w:sz w:val="24"/>
          <w:szCs w:val="32"/>
          <w:highlight w:val="none"/>
          <w:lang w:val="en-US" w:eastAsia="zh-CN"/>
        </w:rPr>
        <w:t>。</w:t>
      </w:r>
    </w:p>
    <w:p w14:paraId="2A374A0D">
      <w:pPr>
        <w:pStyle w:val="12"/>
        <w:spacing w:line="560" w:lineRule="exact"/>
        <w:ind w:right="-624" w:rightChars="-297" w:firstLine="566" w:firstLineChars="236"/>
        <w:jc w:val="left"/>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（三）招标人如提出组织专家对评估报告书等成果文件进行评审，中标人应积极配合，并根据专家评审意见及时对评估报告等成果文件调整或修改情况进行书面反馈。</w:t>
      </w:r>
    </w:p>
    <w:p w14:paraId="19EB5E3F">
      <w:pPr>
        <w:pStyle w:val="12"/>
        <w:numPr>
          <w:ilvl w:val="0"/>
          <w:numId w:val="5"/>
        </w:numPr>
        <w:spacing w:line="560" w:lineRule="exact"/>
        <w:ind w:right="-624" w:rightChars="-297"/>
        <w:jc w:val="both"/>
        <w:outlineLvl w:val="1"/>
        <w:rPr>
          <w:rFonts w:hint="eastAsia" w:ascii="仿宋" w:hAnsi="仿宋" w:eastAsia="仿宋" w:cs="黑体"/>
          <w:b/>
          <w:color w:val="000000"/>
          <w:sz w:val="24"/>
          <w:szCs w:val="32"/>
          <w:highlight w:val="none"/>
        </w:rPr>
      </w:pPr>
      <w:r>
        <w:rPr>
          <w:rFonts w:hint="eastAsia" w:ascii="仿宋" w:hAnsi="仿宋" w:eastAsia="仿宋" w:cs="黑体"/>
          <w:b/>
          <w:color w:val="000000"/>
          <w:sz w:val="24"/>
          <w:szCs w:val="32"/>
          <w:highlight w:val="none"/>
        </w:rPr>
        <w:t>价值评估要求</w:t>
      </w:r>
    </w:p>
    <w:p w14:paraId="25F6EB7C">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（一）评估方法与参数选取要求</w:t>
      </w:r>
    </w:p>
    <w:p w14:paraId="791D9C7A">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lang w:val="en-US" w:eastAsia="zh-CN"/>
        </w:rPr>
      </w:pPr>
      <w:r>
        <w:rPr>
          <w:rFonts w:hint="eastAsia" w:ascii="仿宋" w:hAnsi="仿宋" w:eastAsia="仿宋" w:cs="仿宋"/>
          <w:szCs w:val="32"/>
          <w:highlight w:val="none"/>
          <w:lang w:val="en-US" w:eastAsia="zh-CN"/>
        </w:rPr>
        <w:t>1</w:t>
      </w:r>
      <w:r>
        <w:rPr>
          <w:rFonts w:hint="eastAsia" w:ascii="仿宋" w:hAnsi="仿宋" w:eastAsia="仿宋" w:cs="仿宋"/>
          <w:szCs w:val="32"/>
          <w:highlight w:val="none"/>
        </w:rPr>
        <w:t>.</w:t>
      </w:r>
      <w:r>
        <w:rPr>
          <w:rFonts w:hint="eastAsia" w:ascii="仿宋" w:hAnsi="仿宋" w:eastAsia="仿宋" w:cs="仿宋"/>
          <w:szCs w:val="32"/>
          <w:highlight w:val="none"/>
          <w:lang w:val="en-US" w:eastAsia="zh-CN"/>
        </w:rPr>
        <w:t>中标人应科学选用评估方法、合理选取评估参数。原则上，对同一估价对象应选用两种及以上适宜的评估方法进行交叉验证；若因特殊情况舍弃某种适宜评估方法，须在评估报告中详细说明舍弃理由并充分论证其合理性。参数选取须严格遵循客观、公正、合理的原则，交易价格、租金水平、折现率等关键参数，需基于充分的市场真实数据调研，结合估价对象实际情况论证确定，同时完整留存参数选取依据及测算过程，确保评估结果具备科学性、合理性与可追溯性。</w:t>
      </w:r>
    </w:p>
    <w:p w14:paraId="177CDD89">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lang w:val="en-US" w:eastAsia="zh-CN"/>
        </w:rPr>
        <w:t>2.针对不同类型的估价对象，应分别列示其估价测算过程，明确各类型价值形成路径，保障测算逻辑清晰、全程可溯。</w:t>
      </w:r>
    </w:p>
    <w:p w14:paraId="268A26F8">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（二）执行标准</w:t>
      </w:r>
    </w:p>
    <w:p w14:paraId="595EDBEC">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rPr>
        <w:t>执行国家、广东省、珠海市现行法律法规及相关规定要求</w:t>
      </w:r>
      <w:r>
        <w:rPr>
          <w:rFonts w:hint="eastAsia" w:ascii="仿宋" w:hAnsi="仿宋" w:eastAsia="仿宋" w:cs="仿宋"/>
          <w:szCs w:val="32"/>
          <w:highlight w:val="none"/>
          <w:lang w:eastAsia="zh-CN"/>
        </w:rPr>
        <w:t>，</w:t>
      </w:r>
      <w:r>
        <w:rPr>
          <w:rFonts w:hint="eastAsia" w:ascii="仿宋" w:hAnsi="仿宋" w:eastAsia="仿宋" w:cs="仿宋"/>
          <w:szCs w:val="32"/>
          <w:highlight w:val="none"/>
        </w:rPr>
        <w:t>包括但不限于《珠海市市属国有企业资产评估管理办法》（珠国资〔2025〕11号）。</w:t>
      </w:r>
    </w:p>
    <w:p w14:paraId="452BA6E7">
      <w:pPr>
        <w:pStyle w:val="13"/>
        <w:spacing w:before="0" w:beforeAutospacing="0" w:after="0" w:afterAutospacing="0" w:line="432" w:lineRule="auto"/>
        <w:ind w:right="-624" w:rightChars="-297" w:firstLine="480" w:firstLineChars="200"/>
        <w:rPr>
          <w:rFonts w:hint="eastAsia" w:ascii="仿宋" w:hAnsi="仿宋" w:eastAsia="仿宋" w:cs="楷体"/>
          <w:szCs w:val="32"/>
          <w:highlight w:val="none"/>
        </w:rPr>
      </w:pPr>
      <w:r>
        <w:rPr>
          <w:rFonts w:hint="eastAsia" w:ascii="仿宋" w:hAnsi="仿宋" w:eastAsia="仿宋" w:cs="楷体"/>
          <w:szCs w:val="32"/>
          <w:highlight w:val="none"/>
        </w:rPr>
        <w:t>（三）其他事项</w:t>
      </w:r>
    </w:p>
    <w:p w14:paraId="52E34B2D">
      <w:pPr>
        <w:pStyle w:val="13"/>
        <w:spacing w:before="0" w:beforeAutospacing="0" w:after="0" w:afterAutospacing="0" w:line="432" w:lineRule="auto"/>
        <w:ind w:right="-624" w:rightChars="-297" w:firstLine="480" w:firstLineChars="200"/>
        <w:rPr>
          <w:rFonts w:hint="eastAsia" w:ascii="仿宋" w:hAnsi="仿宋" w:eastAsia="仿宋" w:cs="仿宋"/>
          <w:sz w:val="24"/>
          <w:szCs w:val="32"/>
          <w:highlight w:val="none"/>
          <w:lang w:val="en-US"/>
        </w:rPr>
      </w:pPr>
      <w:r>
        <w:rPr>
          <w:rFonts w:hint="eastAsia" w:ascii="仿宋" w:hAnsi="仿宋" w:eastAsia="仿宋" w:cs="仿宋"/>
          <w:szCs w:val="32"/>
          <w:highlight w:val="none"/>
        </w:rPr>
        <w:t>选聘的评估机构应当具有与评估事项相适应的资质条件、评估专业人员、评估经验和专业特长，遵守国家有关法律法规以及资产评估管理相关规定，近3年内无违法违规从业记录及不良信用记录。</w:t>
      </w:r>
    </w:p>
    <w:p w14:paraId="4B6EDF15">
      <w:pPr>
        <w:pStyle w:val="12"/>
        <w:numPr>
          <w:ilvl w:val="0"/>
          <w:numId w:val="5"/>
        </w:numPr>
        <w:spacing w:line="560" w:lineRule="exact"/>
        <w:ind w:right="-624" w:rightChars="-297"/>
        <w:jc w:val="both"/>
        <w:outlineLvl w:val="1"/>
        <w:rPr>
          <w:rFonts w:ascii="仿宋" w:hAnsi="仿宋" w:eastAsia="仿宋" w:cs="黑体"/>
          <w:b/>
          <w:sz w:val="24"/>
          <w:szCs w:val="32"/>
          <w:highlight w:val="none"/>
        </w:rPr>
      </w:pPr>
      <w:r>
        <w:rPr>
          <w:rFonts w:hint="eastAsia" w:ascii="仿宋" w:hAnsi="仿宋" w:eastAsia="仿宋" w:cs="黑体"/>
          <w:b/>
          <w:color w:val="000000"/>
          <w:sz w:val="24"/>
          <w:szCs w:val="32"/>
          <w:highlight w:val="none"/>
        </w:rPr>
        <w:t>工期及成果要求</w:t>
      </w:r>
    </w:p>
    <w:p w14:paraId="25B91EE3">
      <w:pPr>
        <w:pStyle w:val="12"/>
        <w:spacing w:line="560" w:lineRule="exact"/>
        <w:ind w:right="-624" w:rightChars="-297" w:firstLine="480" w:firstLineChars="200"/>
        <w:jc w:val="left"/>
        <w:rPr>
          <w:rFonts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（一）中标后，接到正式评估委托函之日起在招标人规定工作日内提交咨询报告初稿，初评报告应为包含评估结果报告、评估技术报告、附件等在内的完整报告。</w:t>
      </w:r>
    </w:p>
    <w:p w14:paraId="58B5376F">
      <w:pPr>
        <w:pStyle w:val="12"/>
        <w:spacing w:line="560" w:lineRule="exact"/>
        <w:ind w:right="-624" w:rightChars="-297" w:firstLine="480" w:firstLineChars="200"/>
        <w:jc w:val="left"/>
        <w:rPr>
          <w:rFonts w:ascii="仿宋" w:hAnsi="仿宋" w:eastAsia="仿宋" w:cs="仿宋"/>
          <w:sz w:val="24"/>
          <w:szCs w:val="32"/>
          <w:highlight w:val="none"/>
          <w:lang w:val="en-US" w:eastAsia="zh-CN"/>
        </w:rPr>
      </w:pP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二</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中标人在招标人要求的期限内提供相应的预评估数据、评估报告书等成果文件。</w:t>
      </w:r>
    </w:p>
    <w:p w14:paraId="6F5AE27D">
      <w:pPr>
        <w:pStyle w:val="12"/>
        <w:spacing w:line="560" w:lineRule="exact"/>
        <w:ind w:right="-624" w:rightChars="-297" w:firstLine="480" w:firstLineChars="200"/>
        <w:jc w:val="left"/>
        <w:rPr>
          <w:rFonts w:ascii="仿宋" w:hAnsi="仿宋" w:eastAsia="仿宋" w:cs="仿宋"/>
          <w:sz w:val="24"/>
          <w:szCs w:val="32"/>
          <w:highlight w:val="none"/>
        </w:rPr>
      </w:pP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三</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rPr>
        <w:t>如果</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延误工期累积超过7个日历日，则</w:t>
      </w:r>
      <w:r>
        <w:rPr>
          <w:rFonts w:hint="eastAsia" w:ascii="仿宋" w:hAnsi="仿宋" w:eastAsia="仿宋" w:cs="仿宋"/>
          <w:color w:val="000000"/>
          <w:sz w:val="24"/>
          <w:szCs w:val="32"/>
          <w:highlight w:val="none"/>
          <w:lang w:val="en-US" w:eastAsia="zh-CN"/>
        </w:rPr>
        <w:t>招标人</w:t>
      </w:r>
      <w:r>
        <w:rPr>
          <w:rFonts w:hint="eastAsia" w:ascii="仿宋" w:hAnsi="仿宋" w:eastAsia="仿宋" w:cs="仿宋"/>
          <w:color w:val="000000"/>
          <w:sz w:val="24"/>
          <w:szCs w:val="32"/>
          <w:highlight w:val="none"/>
        </w:rPr>
        <w:t>有权减少</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的工作范围或终止合同，并有权聘请其他单位执行</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未能完成的工</w:t>
      </w:r>
      <w:r>
        <w:rPr>
          <w:rFonts w:hint="eastAsia" w:ascii="仿宋" w:hAnsi="仿宋" w:eastAsia="仿宋" w:cs="仿宋"/>
          <w:color w:val="000000"/>
          <w:sz w:val="24"/>
          <w:szCs w:val="32"/>
          <w:highlight w:val="none"/>
          <w:lang w:val="en-US" w:eastAsia="zh-CN"/>
        </w:rPr>
        <w:t>作</w:t>
      </w:r>
      <w:r>
        <w:rPr>
          <w:rFonts w:hint="eastAsia" w:ascii="仿宋" w:hAnsi="仿宋" w:eastAsia="仿宋" w:cs="仿宋"/>
          <w:color w:val="000000"/>
          <w:sz w:val="24"/>
          <w:szCs w:val="32"/>
          <w:highlight w:val="none"/>
        </w:rPr>
        <w:t>，由此产生的一切损失和赔偿由</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承担，</w:t>
      </w:r>
      <w:r>
        <w:rPr>
          <w:rFonts w:hint="eastAsia" w:ascii="仿宋" w:hAnsi="仿宋" w:eastAsia="仿宋" w:cs="仿宋"/>
          <w:color w:val="000000"/>
          <w:sz w:val="24"/>
          <w:szCs w:val="32"/>
          <w:highlight w:val="none"/>
          <w:lang w:val="en-US" w:eastAsia="zh-CN"/>
        </w:rPr>
        <w:t>招标人</w:t>
      </w:r>
      <w:r>
        <w:rPr>
          <w:rFonts w:hint="eastAsia" w:ascii="仿宋" w:hAnsi="仿宋" w:eastAsia="仿宋" w:cs="仿宋"/>
          <w:color w:val="000000"/>
          <w:sz w:val="24"/>
          <w:szCs w:val="32"/>
          <w:highlight w:val="none"/>
        </w:rPr>
        <w:t>可直接从应付给</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的款项中扣除。</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不能因此向</w:t>
      </w:r>
      <w:r>
        <w:rPr>
          <w:rFonts w:hint="eastAsia" w:ascii="仿宋" w:hAnsi="仿宋" w:eastAsia="仿宋" w:cs="仿宋"/>
          <w:color w:val="000000"/>
          <w:sz w:val="24"/>
          <w:szCs w:val="32"/>
          <w:highlight w:val="none"/>
          <w:lang w:val="en-US" w:eastAsia="zh-CN"/>
        </w:rPr>
        <w:t>招标人</w:t>
      </w:r>
      <w:r>
        <w:rPr>
          <w:rFonts w:hint="eastAsia" w:ascii="仿宋" w:hAnsi="仿宋" w:eastAsia="仿宋" w:cs="仿宋"/>
          <w:color w:val="000000"/>
          <w:sz w:val="24"/>
          <w:szCs w:val="32"/>
          <w:highlight w:val="none"/>
        </w:rPr>
        <w:t>提出任何异议和索赔任何因此</w:t>
      </w:r>
      <w:r>
        <w:rPr>
          <w:rFonts w:hint="eastAsia" w:ascii="仿宋" w:hAnsi="仿宋" w:eastAsia="仿宋" w:cs="仿宋"/>
          <w:color w:val="000000"/>
          <w:sz w:val="24"/>
          <w:szCs w:val="32"/>
          <w:highlight w:val="none"/>
          <w:lang w:val="en-US" w:eastAsia="zh-CN"/>
        </w:rPr>
        <w:t>产生</w:t>
      </w:r>
      <w:r>
        <w:rPr>
          <w:rFonts w:hint="eastAsia" w:ascii="仿宋" w:hAnsi="仿宋" w:eastAsia="仿宋" w:cs="仿宋"/>
          <w:color w:val="000000"/>
          <w:sz w:val="24"/>
          <w:szCs w:val="32"/>
          <w:highlight w:val="none"/>
        </w:rPr>
        <w:t>的额外费用。</w:t>
      </w:r>
    </w:p>
    <w:p w14:paraId="1E0ABF53">
      <w:pPr>
        <w:pStyle w:val="13"/>
        <w:spacing w:before="0" w:beforeAutospacing="0" w:after="0" w:afterAutospacing="0" w:line="432" w:lineRule="auto"/>
        <w:ind w:right="-624" w:rightChars="-297" w:firstLine="480" w:firstLineChars="200"/>
        <w:rPr>
          <w:rFonts w:hint="eastAsia" w:ascii="仿宋" w:hAnsi="仿宋" w:eastAsia="仿宋" w:cs="仿宋"/>
          <w:szCs w:val="32"/>
          <w:highlight w:val="none"/>
        </w:rPr>
      </w:pPr>
      <w:r>
        <w:rPr>
          <w:rFonts w:hint="eastAsia" w:ascii="仿宋" w:hAnsi="仿宋" w:eastAsia="仿宋" w:cs="仿宋"/>
          <w:szCs w:val="32"/>
          <w:highlight w:val="none"/>
        </w:rPr>
        <w:t>（四）如招标人对咨询报告和补偿方案（初稿）有修改意见，需在招标人提出修改意见后的3个工作日内作出修改；如招标人无相关修改意见，则在招标人确认通知后的1个工作日内出具正式盖章的咨询报告。</w:t>
      </w:r>
    </w:p>
    <w:p w14:paraId="1AF6CFCE">
      <w:pPr>
        <w:spacing w:line="360" w:lineRule="auto"/>
        <w:ind w:right="-624" w:rightChars="-297" w:firstLine="480" w:firstLineChars="200"/>
        <w:jc w:val="left"/>
        <w:rPr>
          <w:rFonts w:ascii="仿宋" w:hAnsi="仿宋" w:eastAsia="仿宋" w:cs="仿宋"/>
          <w:sz w:val="24"/>
          <w:szCs w:val="32"/>
          <w:highlight w:val="none"/>
        </w:rPr>
      </w:pPr>
      <w:r>
        <w:rPr>
          <w:rFonts w:hint="eastAsia" w:ascii="仿宋" w:hAnsi="仿宋" w:eastAsia="仿宋" w:cs="仿宋"/>
          <w:sz w:val="24"/>
          <w:szCs w:val="32"/>
          <w:highlight w:val="none"/>
        </w:rPr>
        <w:t>（五）服务期限为中标通知书发出之日起至项目完成时止。</w:t>
      </w:r>
    </w:p>
    <w:p w14:paraId="60F74C47">
      <w:pPr>
        <w:pStyle w:val="12"/>
        <w:spacing w:line="560" w:lineRule="exact"/>
        <w:ind w:firstLine="480" w:firstLineChars="200"/>
        <w:jc w:val="left"/>
        <w:rPr>
          <w:rFonts w:ascii="仿宋" w:hAnsi="仿宋" w:eastAsia="仿宋" w:cs="宋体"/>
          <w:sz w:val="24"/>
          <w:highlight w:val="none"/>
        </w:rPr>
      </w:pP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六</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rPr>
        <w:t>其他事项：</w:t>
      </w:r>
      <w:r>
        <w:rPr>
          <w:rFonts w:hint="eastAsia" w:ascii="仿宋" w:hAnsi="仿宋" w:eastAsia="仿宋" w:cs="仿宋"/>
          <w:color w:val="000000"/>
          <w:sz w:val="24"/>
          <w:szCs w:val="32"/>
          <w:highlight w:val="none"/>
          <w:lang w:val="en-US" w:eastAsia="zh-CN"/>
        </w:rPr>
        <w:t>中标人</w:t>
      </w:r>
      <w:r>
        <w:rPr>
          <w:rFonts w:hint="eastAsia" w:ascii="仿宋" w:hAnsi="仿宋" w:eastAsia="仿宋" w:cs="仿宋"/>
          <w:color w:val="000000"/>
          <w:sz w:val="24"/>
          <w:szCs w:val="32"/>
          <w:highlight w:val="none"/>
        </w:rPr>
        <w:t>评估报告</w:t>
      </w:r>
      <w:r>
        <w:rPr>
          <w:rFonts w:hint="eastAsia" w:ascii="仿宋" w:hAnsi="仿宋" w:eastAsia="仿宋" w:cs="仿宋"/>
          <w:color w:val="000000"/>
          <w:sz w:val="24"/>
          <w:szCs w:val="32"/>
          <w:highlight w:val="none"/>
          <w:lang w:val="en-US" w:eastAsia="zh-CN"/>
        </w:rPr>
        <w:t>书等成果文件</w:t>
      </w:r>
      <w:r>
        <w:rPr>
          <w:rFonts w:hint="eastAsia" w:ascii="仿宋" w:hAnsi="仿宋" w:eastAsia="仿宋" w:cs="仿宋"/>
          <w:color w:val="000000"/>
          <w:sz w:val="24"/>
          <w:szCs w:val="32"/>
          <w:highlight w:val="none"/>
        </w:rPr>
        <w:t>出具后，须装订</w:t>
      </w:r>
      <w:r>
        <w:rPr>
          <w:rFonts w:hint="eastAsia" w:ascii="仿宋" w:hAnsi="仿宋" w:eastAsia="仿宋" w:cs="仿宋"/>
          <w:b/>
          <w:color w:val="000000"/>
          <w:sz w:val="24"/>
          <w:szCs w:val="32"/>
          <w:highlight w:val="none"/>
          <w:u w:val="single"/>
        </w:rPr>
        <w:t>一式六份（电子版1份）</w:t>
      </w:r>
      <w:r>
        <w:rPr>
          <w:rFonts w:hint="eastAsia" w:ascii="仿宋" w:hAnsi="仿宋" w:eastAsia="仿宋" w:cs="仿宋"/>
          <w:color w:val="000000"/>
          <w:sz w:val="24"/>
          <w:szCs w:val="32"/>
          <w:highlight w:val="none"/>
        </w:rPr>
        <w:t>成果文件送招标人存档</w:t>
      </w:r>
      <w:r>
        <w:rPr>
          <w:rFonts w:hint="eastAsia" w:ascii="仿宋" w:hAnsi="仿宋" w:eastAsia="仿宋" w:cs="仿宋"/>
          <w:color w:val="000000"/>
          <w:sz w:val="24"/>
          <w:szCs w:val="32"/>
          <w:highlight w:val="none"/>
          <w:lang w:eastAsia="zh-CN"/>
        </w:rPr>
        <w:t>，</w:t>
      </w:r>
      <w:r>
        <w:rPr>
          <w:rFonts w:hint="eastAsia" w:ascii="仿宋" w:hAnsi="仿宋" w:eastAsia="仿宋" w:cs="仿宋"/>
          <w:color w:val="000000"/>
          <w:sz w:val="24"/>
          <w:szCs w:val="32"/>
          <w:highlight w:val="none"/>
          <w:lang w:val="en-US" w:eastAsia="zh-CN"/>
        </w:rPr>
        <w:t>成果文件要求最终以项目实际需求为准。</w:t>
      </w:r>
    </w:p>
    <w:p w14:paraId="6A06F6EC">
      <w:pPr>
        <w:spacing w:line="360" w:lineRule="auto"/>
        <w:ind w:right="-624" w:rightChars="-297" w:firstLine="480" w:firstLineChars="200"/>
        <w:jc w:val="center"/>
        <w:rPr>
          <w:rFonts w:ascii="仿宋" w:hAnsi="仿宋" w:eastAsia="仿宋" w:cs="仿宋"/>
          <w:sz w:val="24"/>
          <w:szCs w:val="32"/>
          <w:highlight w:val="none"/>
        </w:rPr>
        <w:sectPr>
          <w:pgSz w:w="11906" w:h="16838"/>
          <w:pgMar w:top="1440" w:right="1800" w:bottom="1440" w:left="1800" w:header="851" w:footer="992" w:gutter="0"/>
          <w:cols w:space="720" w:num="1"/>
          <w:docGrid w:type="lines" w:linePitch="312" w:charSpace="0"/>
        </w:sectPr>
      </w:pPr>
    </w:p>
    <w:p w14:paraId="3D8D47A5">
      <w:pPr>
        <w:spacing w:line="360" w:lineRule="auto"/>
        <w:ind w:left="425" w:right="-624" w:rightChars="-297" w:firstLine="0" w:firstLineChars="0"/>
        <w:jc w:val="center"/>
        <w:outlineLvl w:val="0"/>
        <w:rPr>
          <w:rFonts w:hint="default" w:ascii="仿宋" w:hAnsi="仿宋" w:eastAsia="仿宋" w:cs="宋体"/>
          <w:b/>
          <w:bCs/>
          <w:sz w:val="28"/>
          <w:szCs w:val="24"/>
          <w:highlight w:val="none"/>
        </w:rPr>
      </w:pPr>
      <w:commentRangeStart w:id="0"/>
      <w:r>
        <w:rPr>
          <w:rFonts w:hint="default" w:ascii="仿宋" w:hAnsi="仿宋" w:eastAsia="仿宋" w:cs="宋体"/>
          <w:b/>
          <w:bCs/>
          <w:sz w:val="28"/>
          <w:szCs w:val="24"/>
          <w:highlight w:val="none"/>
        </w:rPr>
        <w:t xml:space="preserve"> </w:t>
      </w:r>
      <w:r>
        <w:rPr>
          <w:rFonts w:hint="eastAsia" w:ascii="仿宋" w:hAnsi="仿宋" w:eastAsia="仿宋" w:cs="宋体"/>
          <w:b/>
          <w:bCs/>
          <w:sz w:val="28"/>
          <w:szCs w:val="24"/>
          <w:highlight w:val="none"/>
          <w:lang w:val="en-US" w:eastAsia="zh-CN"/>
        </w:rPr>
        <w:t xml:space="preserve">第四部分   </w:t>
      </w:r>
      <w:r>
        <w:rPr>
          <w:rFonts w:hint="default" w:ascii="仿宋" w:hAnsi="仿宋" w:eastAsia="仿宋" w:cs="宋体"/>
          <w:b/>
          <w:bCs/>
          <w:sz w:val="28"/>
          <w:highlight w:val="none"/>
        </w:rPr>
        <w:t>商业及行政物业租金评估服务</w:t>
      </w:r>
      <w:commentRangeEnd w:id="0"/>
      <w:r>
        <w:rPr>
          <w:highlight w:val="none"/>
        </w:rPr>
        <w:commentReference w:id="0"/>
      </w:r>
    </w:p>
    <w:p w14:paraId="5E1D1FEE">
      <w:pPr>
        <w:pStyle w:val="12"/>
        <w:numPr>
          <w:ilvl w:val="0"/>
          <w:numId w:val="7"/>
        </w:numPr>
        <w:spacing w:line="560" w:lineRule="exact"/>
        <w:ind w:right="-624" w:rightChars="-297"/>
        <w:jc w:val="both"/>
        <w:outlineLvl w:val="1"/>
        <w:rPr>
          <w:rFonts w:hint="eastAsia" w:ascii="仿宋" w:hAnsi="仿宋" w:eastAsia="仿宋" w:cs="黑体"/>
          <w:b/>
          <w:color w:val="000000"/>
          <w:sz w:val="24"/>
          <w:szCs w:val="32"/>
          <w:highlight w:val="none"/>
        </w:rPr>
      </w:pPr>
      <w:r>
        <w:rPr>
          <w:rFonts w:hint="eastAsia" w:ascii="仿宋" w:hAnsi="仿宋" w:eastAsia="仿宋" w:cs="黑体"/>
          <w:b/>
          <w:color w:val="000000"/>
          <w:sz w:val="24"/>
          <w:szCs w:val="32"/>
          <w:highlight w:val="none"/>
        </w:rPr>
        <w:t>具体服务内容</w:t>
      </w:r>
    </w:p>
    <w:p w14:paraId="3F5DC90D">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1、中标人为招标人提供专业的租金评估服务，租金评估服务范围包括但不限于：</w:t>
      </w:r>
    </w:p>
    <w:p w14:paraId="069CD213">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（1）根据招标人的商业及行政物业清单，在保证质量并符合实际价值的前提下出具评估报告书。</w:t>
      </w:r>
    </w:p>
    <w:p w14:paraId="621B4EB0">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（2）提供评估相关的其他咨询服务。</w:t>
      </w:r>
    </w:p>
    <w:p w14:paraId="6D83B911">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2、评估对象：为珠海正方集团有限公司及其下属子公司和关联公司的物业及新增同类评估对象。</w:t>
      </w:r>
    </w:p>
    <w:p w14:paraId="2D1E436A">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3、评估目的：为招标人确定年度招租底价提供市场价格参考依据。</w:t>
      </w:r>
    </w:p>
    <w:p w14:paraId="37BE0C6B">
      <w:pPr>
        <w:pStyle w:val="12"/>
        <w:numPr>
          <w:ilvl w:val="0"/>
          <w:numId w:val="0"/>
        </w:numPr>
        <w:spacing w:line="560" w:lineRule="exact"/>
        <w:ind w:right="-624" w:rightChars="-297" w:firstLine="480" w:firstLineChars="200"/>
        <w:jc w:val="left"/>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4、价值类型：价值类型为估价对象于评估时点下的房地产市场租金价格（公开市场价值）。公开市场价值，是指估价对象于评估时点在公开市场（是指竞争性的、以最大限度追求经济利益为目的、所有市场主体均可平等自由参与交易的市场）上最可能形成或成立的价格。是指估价物业在评估基准日的年度招租起价，并非最终成交价。</w:t>
      </w:r>
    </w:p>
    <w:p w14:paraId="54916E5A">
      <w:pPr>
        <w:pStyle w:val="12"/>
        <w:numPr>
          <w:ilvl w:val="0"/>
          <w:numId w:val="7"/>
        </w:numPr>
        <w:spacing w:line="560" w:lineRule="exact"/>
        <w:ind w:right="-624" w:rightChars="-297"/>
        <w:jc w:val="both"/>
        <w:outlineLvl w:val="1"/>
        <w:rPr>
          <w:rFonts w:hint="eastAsia" w:ascii="仿宋" w:hAnsi="仿宋" w:eastAsia="仿宋" w:cs="黑体"/>
          <w:b/>
          <w:color w:val="000000"/>
          <w:sz w:val="24"/>
          <w:szCs w:val="32"/>
          <w:highlight w:val="none"/>
        </w:rPr>
      </w:pPr>
      <w:r>
        <w:rPr>
          <w:rFonts w:hint="eastAsia" w:ascii="仿宋" w:hAnsi="仿宋" w:eastAsia="仿宋" w:cs="黑体"/>
          <w:b/>
          <w:color w:val="000000"/>
          <w:sz w:val="24"/>
          <w:szCs w:val="32"/>
          <w:highlight w:val="none"/>
          <w:lang w:val="en-US" w:eastAsia="zh-CN"/>
        </w:rPr>
        <w:t>服务</w:t>
      </w:r>
      <w:r>
        <w:rPr>
          <w:rFonts w:hint="eastAsia" w:ascii="仿宋" w:hAnsi="仿宋" w:eastAsia="仿宋" w:cs="黑体"/>
          <w:b/>
          <w:color w:val="000000"/>
          <w:sz w:val="24"/>
          <w:szCs w:val="32"/>
          <w:highlight w:val="none"/>
        </w:rPr>
        <w:t>要求</w:t>
      </w:r>
    </w:p>
    <w:p w14:paraId="248CEF04">
      <w:pPr>
        <w:pStyle w:val="12"/>
        <w:numPr>
          <w:ilvl w:val="0"/>
          <w:numId w:val="0"/>
        </w:numPr>
        <w:spacing w:line="560" w:lineRule="exact"/>
        <w:ind w:right="-624" w:rightChars="-297" w:firstLine="480" w:firstLineChars="200"/>
        <w:jc w:val="left"/>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1、中标人应在招标人配合下依据调查资料对指定的物业（项目）进行评估、分析，并在招标人提供资料及完成现场勘察后及时提交初评结果或评估报告初稿，经招标人评估评审小组审核通过后，应在10个工作日内，提供招标人指定份数的正式报告书。</w:t>
      </w:r>
    </w:p>
    <w:p w14:paraId="644E407F">
      <w:pPr>
        <w:pStyle w:val="13"/>
        <w:spacing w:line="432" w:lineRule="auto"/>
        <w:ind w:firstLine="480" w:firstLineChars="200"/>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2、如招标人对初评结果或评估报告初稿有修改意见，中标人应与招标人进行充分沟通，并在沟通一致后对初评结果或评估报告初稿作出修改，经招标人再次确认后1个工作日内出具正式盖章的评估报告。</w:t>
      </w:r>
    </w:p>
    <w:p w14:paraId="1D66FED6">
      <w:pPr>
        <w:pStyle w:val="12"/>
        <w:numPr>
          <w:ilvl w:val="0"/>
          <w:numId w:val="0"/>
        </w:numPr>
        <w:spacing w:line="560" w:lineRule="exact"/>
        <w:ind w:right="-624" w:rightChars="-297" w:firstLine="480" w:firstLineChars="200"/>
        <w:jc w:val="left"/>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3、若因招标人原因造成时间延误的，则中标人完成工作时间相应顺延。</w:t>
      </w:r>
    </w:p>
    <w:p w14:paraId="18E4F1C0">
      <w:pPr>
        <w:pStyle w:val="12"/>
        <w:numPr>
          <w:ilvl w:val="0"/>
          <w:numId w:val="0"/>
        </w:numPr>
        <w:spacing w:line="560" w:lineRule="exact"/>
        <w:ind w:right="-624" w:rightChars="-297" w:firstLine="480" w:firstLineChars="200"/>
        <w:jc w:val="left"/>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4、中标人出具的评估报告送达招标人方式为：当面送达、邮递</w:t>
      </w:r>
    </w:p>
    <w:p w14:paraId="76F297A4">
      <w:pPr>
        <w:pStyle w:val="13"/>
        <w:spacing w:line="432" w:lineRule="auto"/>
        <w:ind w:right="-624" w:rightChars="-297" w:firstLine="480" w:firstLineChars="200"/>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5、中标人在服务期限内仅应与服务合同中指定的人员进行对接，不得与招标人业务部门人员直接对接。</w:t>
      </w:r>
    </w:p>
    <w:p w14:paraId="19596AC9">
      <w:pPr>
        <w:pStyle w:val="13"/>
        <w:spacing w:line="432" w:lineRule="auto"/>
        <w:ind w:firstLine="480" w:firstLineChars="200"/>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szCs w:val="32"/>
          <w:highlight w:val="none"/>
          <w:lang w:val="en-US" w:eastAsia="zh-CN"/>
        </w:rPr>
        <w:t>6、中标人应科学选用评估方法、合理选取评估参数。参数选取须严格遵循客观、公正、合理的原则，交易价格、租金水平、折现率等关键参数，需基于充分的市场真实数据调研，结合估价对象实际情况论证确定，同时完整留存参数选取依据及测算过程，确保评估结果具备科学性、合理性与可追溯性。</w:t>
      </w:r>
    </w:p>
    <w:p w14:paraId="45E29AB3">
      <w:pPr>
        <w:pStyle w:val="12"/>
        <w:numPr>
          <w:ilvl w:val="0"/>
          <w:numId w:val="0"/>
        </w:numPr>
        <w:spacing w:line="560" w:lineRule="exact"/>
        <w:ind w:right="-624" w:rightChars="-297" w:firstLine="480" w:firstLineChars="200"/>
        <w:jc w:val="left"/>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7、同一年度内针对同一对象开展评估，原则上将由一家评估公司承担。但特殊情况下，若交由两家或以上评估公司在开展评估，应当共同协商确定一家评估机构为牵头单位，就评估对象、评估时点、价值内涵、评估依据、评估假设、评估原则、评估技术路线、评估方法、重要参数选取、评估结果确定方式等进行沟通，统一标准。</w:t>
      </w:r>
    </w:p>
    <w:p w14:paraId="7D1721EA">
      <w:pPr>
        <w:pStyle w:val="12"/>
        <w:numPr>
          <w:ilvl w:val="0"/>
          <w:numId w:val="0"/>
        </w:numPr>
        <w:spacing w:line="560" w:lineRule="exact"/>
        <w:ind w:right="-624" w:rightChars="-297" w:firstLine="480" w:firstLineChars="200"/>
        <w:jc w:val="left"/>
        <w:outlineLvl w:val="9"/>
        <w:rPr>
          <w:rFonts w:hint="eastAsia"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8、中标人提交的评估结果应为包含但不限于评估报告、评估明细表、附件以及技术报告在内的完整报告。</w:t>
      </w:r>
    </w:p>
    <w:p w14:paraId="6C4F857A">
      <w:pPr>
        <w:pStyle w:val="12"/>
        <w:numPr>
          <w:ilvl w:val="0"/>
          <w:numId w:val="0"/>
        </w:numPr>
        <w:spacing w:line="560" w:lineRule="exact"/>
        <w:ind w:right="-624" w:rightChars="-297" w:firstLine="480" w:firstLineChars="200"/>
        <w:jc w:val="left"/>
        <w:outlineLvl w:val="9"/>
        <w:rPr>
          <w:rFonts w:hint="eastAsia" w:ascii="仿宋" w:hAnsi="仿宋" w:eastAsia="仿宋" w:cs="仿宋"/>
          <w:b w:val="0"/>
          <w:color w:val="000000"/>
          <w:sz w:val="24"/>
          <w:szCs w:val="24"/>
          <w:highlight w:val="none"/>
          <w:lang w:val="en-US" w:eastAsia="zh-CN"/>
        </w:rPr>
      </w:pPr>
      <w:r>
        <w:rPr>
          <w:rFonts w:hint="eastAsia" w:ascii="仿宋" w:hAnsi="仿宋" w:eastAsia="仿宋" w:cs="仿宋"/>
          <w:color w:val="000000"/>
          <w:sz w:val="24"/>
          <w:szCs w:val="32"/>
          <w:highlight w:val="none"/>
          <w:lang w:val="en-US" w:eastAsia="zh-CN"/>
        </w:rPr>
        <w:t>9、选聘的评估机构应当具有与评估事项相适应的资质条件、评估专业人员、评估经</w:t>
      </w:r>
      <w:r>
        <w:rPr>
          <w:rFonts w:hint="eastAsia" w:ascii="仿宋" w:hAnsi="仿宋" w:eastAsia="仿宋" w:cs="仿宋"/>
          <w:color w:val="000000"/>
          <w:sz w:val="24"/>
          <w:szCs w:val="24"/>
          <w:highlight w:val="none"/>
          <w:lang w:val="en-US" w:eastAsia="zh-CN"/>
        </w:rPr>
        <w:t>验和专业特长，近3年内无违法违规从业记录及不良信用记录。</w:t>
      </w:r>
    </w:p>
    <w:p w14:paraId="04B1780D">
      <w:pPr>
        <w:keepNext w:val="0"/>
        <w:keepLines w:val="0"/>
        <w:pageBreakBefore w:val="0"/>
        <w:widowControl w:val="0"/>
        <w:numPr>
          <w:ilvl w:val="0"/>
          <w:numId w:val="0"/>
        </w:numPr>
        <w:tabs>
          <w:tab w:val="left" w:pos="1021"/>
        </w:tabs>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highlight w:val="none"/>
          <w:lang w:val="en-US" w:eastAsia="zh-CN"/>
        </w:rPr>
      </w:pPr>
      <w:r>
        <w:rPr>
          <w:rFonts w:hint="eastAsia" w:ascii="仿宋" w:hAnsi="仿宋" w:eastAsia="仿宋" w:cs="仿宋"/>
          <w:b/>
          <w:color w:val="000000"/>
          <w:sz w:val="24"/>
          <w:szCs w:val="24"/>
          <w:highlight w:val="none"/>
          <w:lang w:val="en-US" w:eastAsia="zh-CN"/>
        </w:rPr>
        <w:t xml:space="preserve">三、  </w:t>
      </w:r>
      <w:r>
        <w:rPr>
          <w:rFonts w:hint="eastAsia" w:ascii="仿宋" w:hAnsi="仿宋" w:eastAsia="仿宋" w:cs="仿宋"/>
          <w:b/>
          <w:bCs/>
          <w:sz w:val="24"/>
          <w:highlight w:val="none"/>
          <w:lang w:val="en-US" w:eastAsia="zh-CN"/>
        </w:rPr>
        <w:t>项目清单及支付方式</w:t>
      </w:r>
    </w:p>
    <w:p w14:paraId="6F94B7EC">
      <w:pPr>
        <w:numPr>
          <w:ilvl w:val="0"/>
          <w:numId w:val="0"/>
        </w:numPr>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以单项委托单内的累计面积（不限</w:t>
      </w:r>
      <w:r>
        <w:rPr>
          <w:rFonts w:hint="eastAsia" w:ascii="仿宋" w:hAnsi="仿宋" w:eastAsia="仿宋" w:cs="仿宋"/>
          <w:color w:val="auto"/>
          <w:sz w:val="24"/>
          <w:szCs w:val="24"/>
          <w:highlight w:val="none"/>
          <w:lang w:val="en-US" w:eastAsia="zh-CN"/>
        </w:rPr>
        <w:t>评估</w:t>
      </w:r>
      <w:r>
        <w:rPr>
          <w:rFonts w:hint="eastAsia" w:ascii="仿宋" w:hAnsi="仿宋" w:eastAsia="仿宋" w:cs="仿宋"/>
          <w:color w:val="auto"/>
          <w:sz w:val="24"/>
          <w:szCs w:val="24"/>
          <w:highlight w:val="none"/>
        </w:rPr>
        <w:t>报告数量）进行梯度收费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其中</w:t>
      </w:r>
      <w:r>
        <w:rPr>
          <w:rFonts w:hint="eastAsia" w:ascii="仿宋" w:hAnsi="仿宋" w:eastAsia="仿宋" w:cs="仿宋"/>
          <w:color w:val="auto"/>
          <w:sz w:val="24"/>
          <w:highlight w:val="none"/>
        </w:rPr>
        <w:t>同一单项委托单内的</w:t>
      </w:r>
      <w:r>
        <w:rPr>
          <w:rFonts w:hint="eastAsia" w:ascii="仿宋" w:hAnsi="仿宋" w:eastAsia="仿宋" w:cs="仿宋"/>
          <w:color w:val="auto"/>
          <w:sz w:val="24"/>
          <w:highlight w:val="none"/>
          <w:lang w:val="en-US" w:eastAsia="zh-CN"/>
        </w:rPr>
        <w:t>评估</w:t>
      </w:r>
      <w:r>
        <w:rPr>
          <w:rFonts w:hint="eastAsia" w:ascii="仿宋" w:hAnsi="仿宋" w:eastAsia="仿宋" w:cs="仿宋"/>
          <w:color w:val="auto"/>
          <w:sz w:val="24"/>
          <w:highlight w:val="none"/>
        </w:rPr>
        <w:t>标的物应相对集中，原则上应位于同一商圈或直线距离不超过5公里的范围内。</w:t>
      </w:r>
    </w:p>
    <w:p w14:paraId="3DE87035">
      <w:pPr>
        <w:pStyle w:val="2"/>
        <w:ind w:firstLine="0"/>
        <w:rPr>
          <w:rFonts w:hint="eastAsia" w:ascii="仿宋" w:hAnsi="仿宋" w:eastAsia="仿宋" w:cs="仿宋"/>
          <w:color w:val="auto"/>
          <w:sz w:val="24"/>
          <w:szCs w:val="24"/>
          <w:highlight w:val="none"/>
        </w:rPr>
      </w:pPr>
    </w:p>
    <w:tbl>
      <w:tblPr>
        <w:tblStyle w:val="8"/>
        <w:tblW w:w="7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3871"/>
        <w:gridCol w:w="2940"/>
      </w:tblGrid>
      <w:tr w14:paraId="2B2D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dxa"/>
            <w:noWrap w:val="0"/>
            <w:vAlign w:val="center"/>
          </w:tcPr>
          <w:p w14:paraId="37F1D1A1">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档次</w:t>
            </w:r>
          </w:p>
        </w:tc>
        <w:tc>
          <w:tcPr>
            <w:tcW w:w="3871" w:type="dxa"/>
            <w:noWrap w:val="0"/>
            <w:vAlign w:val="center"/>
          </w:tcPr>
          <w:p w14:paraId="086E0536">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委托单内累计建筑面积（㎡）</w:t>
            </w:r>
          </w:p>
        </w:tc>
        <w:tc>
          <w:tcPr>
            <w:tcW w:w="2940" w:type="dxa"/>
            <w:noWrap w:val="0"/>
            <w:vAlign w:val="center"/>
          </w:tcPr>
          <w:p w14:paraId="2C301D21">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highlight w:val="none"/>
              </w:rPr>
              <w:t>含税控制单价</w:t>
            </w:r>
            <w:r>
              <w:rPr>
                <w:rFonts w:hint="eastAsia" w:ascii="仿宋" w:hAnsi="仿宋" w:eastAsia="仿宋" w:cs="仿宋"/>
                <w:b/>
                <w:bCs/>
                <w:color w:val="auto"/>
                <w:sz w:val="24"/>
                <w:szCs w:val="24"/>
                <w:highlight w:val="none"/>
                <w:vertAlign w:val="baseline"/>
                <w:lang w:val="en-US" w:eastAsia="zh-CN"/>
              </w:rPr>
              <w:t>（元/㎡）</w:t>
            </w:r>
          </w:p>
        </w:tc>
      </w:tr>
      <w:tr w14:paraId="504B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10" w:type="dxa"/>
            <w:noWrap w:val="0"/>
            <w:vAlign w:val="center"/>
          </w:tcPr>
          <w:p w14:paraId="31C47F3A">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3871" w:type="dxa"/>
            <w:noWrap w:val="0"/>
            <w:vAlign w:val="center"/>
          </w:tcPr>
          <w:p w14:paraId="224171A0">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lang w:val="en-US" w:eastAsia="zh-CN"/>
              </w:rPr>
              <w:t>建筑面积≤</w:t>
            </w:r>
            <w:r>
              <w:rPr>
                <w:rFonts w:hint="eastAsia" w:ascii="仿宋" w:hAnsi="仿宋" w:eastAsia="仿宋" w:cs="仿宋"/>
                <w:color w:val="auto"/>
                <w:sz w:val="24"/>
                <w:szCs w:val="24"/>
                <w:highlight w:val="none"/>
              </w:rPr>
              <w:t>1万</w:t>
            </w:r>
            <w:r>
              <w:rPr>
                <w:rFonts w:hint="eastAsia" w:ascii="仿宋" w:hAnsi="仿宋" w:eastAsia="仿宋" w:cs="仿宋"/>
                <w:color w:val="auto"/>
                <w:sz w:val="24"/>
                <w:szCs w:val="24"/>
                <w:highlight w:val="none"/>
                <w:lang w:val="en-US" w:eastAsia="zh-CN"/>
              </w:rPr>
              <w:t>平方米</w:t>
            </w:r>
            <w:r>
              <w:rPr>
                <w:rFonts w:hint="eastAsia" w:ascii="仿宋" w:hAnsi="仿宋" w:eastAsia="仿宋" w:cs="仿宋"/>
                <w:color w:val="auto"/>
                <w:sz w:val="24"/>
                <w:szCs w:val="24"/>
                <w:highlight w:val="none"/>
              </w:rPr>
              <w:t>以下</w:t>
            </w:r>
          </w:p>
        </w:tc>
        <w:tc>
          <w:tcPr>
            <w:tcW w:w="2940" w:type="dxa"/>
            <w:noWrap w:val="0"/>
            <w:vAlign w:val="center"/>
          </w:tcPr>
          <w:p w14:paraId="4F52B900">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A</w:t>
            </w:r>
          </w:p>
        </w:tc>
      </w:tr>
      <w:tr w14:paraId="2D1D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10" w:type="dxa"/>
            <w:noWrap w:val="0"/>
            <w:vAlign w:val="center"/>
          </w:tcPr>
          <w:p w14:paraId="13865691">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w:t>
            </w:r>
          </w:p>
        </w:tc>
        <w:tc>
          <w:tcPr>
            <w:tcW w:w="3871" w:type="dxa"/>
            <w:noWrap w:val="0"/>
            <w:vAlign w:val="center"/>
          </w:tcPr>
          <w:p w14:paraId="7709290F">
            <w:pPr>
              <w:keepNext w:val="0"/>
              <w:keepLines w:val="0"/>
              <w:pageBreakBefore w:val="0"/>
              <w:widowControl w:val="0"/>
              <w:numPr>
                <w:ilvl w:val="0"/>
                <w:numId w:val="0"/>
              </w:numPr>
              <w:suppressLineNumbers w:val="0"/>
              <w:kinsoku/>
              <w:wordWrap/>
              <w:overflowPunct/>
              <w:topLinePunct w:val="0"/>
              <w:bidi w:val="0"/>
              <w:snapToGrid/>
              <w:spacing w:before="0" w:beforeAutospacing="0" w:after="0" w:afterAutospacing="0" w:line="360" w:lineRule="auto"/>
              <w:ind w:left="0" w:right="0"/>
              <w:jc w:val="lef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万平方米</w:t>
            </w:r>
            <w:r>
              <w:rPr>
                <w:rFonts w:hint="eastAsia" w:ascii="仿宋" w:hAnsi="仿宋" w:eastAsia="仿宋" w:cs="仿宋"/>
                <w:color w:val="auto"/>
                <w:sz w:val="24"/>
                <w:szCs w:val="24"/>
                <w:highlight w:val="none"/>
                <w:lang w:val="en-US" w:eastAsia="zh-CN"/>
              </w:rPr>
              <w:t>＜建筑面积≤</w:t>
            </w: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万平方米</w:t>
            </w:r>
          </w:p>
        </w:tc>
        <w:tc>
          <w:tcPr>
            <w:tcW w:w="2940" w:type="dxa"/>
            <w:noWrap w:val="0"/>
            <w:vAlign w:val="center"/>
          </w:tcPr>
          <w:p w14:paraId="74BB1635">
            <w:pPr>
              <w:keepNext w:val="0"/>
              <w:keepLines w:val="0"/>
              <w:pageBreakBefore w:val="0"/>
              <w:widowControl w:val="0"/>
              <w:numPr>
                <w:ilvl w:val="0"/>
                <w:numId w:val="0"/>
              </w:numPr>
              <w:suppressLineNumbers w:val="0"/>
              <w:kinsoku/>
              <w:wordWrap/>
              <w:overflowPunct/>
              <w:topLinePunct w:val="0"/>
              <w:bidi w:val="0"/>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B</w:t>
            </w:r>
          </w:p>
        </w:tc>
      </w:tr>
      <w:tr w14:paraId="611A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610" w:type="dxa"/>
            <w:noWrap w:val="0"/>
            <w:vAlign w:val="center"/>
          </w:tcPr>
          <w:p w14:paraId="17814E93">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w:t>
            </w:r>
          </w:p>
        </w:tc>
        <w:tc>
          <w:tcPr>
            <w:tcW w:w="3871" w:type="dxa"/>
            <w:noWrap w:val="0"/>
            <w:vAlign w:val="center"/>
          </w:tcPr>
          <w:p w14:paraId="5D5C1166">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lang w:val="en-US" w:eastAsia="zh-CN"/>
              </w:rPr>
              <w:t>建筑面积＞</w:t>
            </w: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万平方米</w:t>
            </w:r>
            <w:r>
              <w:rPr>
                <w:rFonts w:hint="eastAsia" w:ascii="仿宋" w:hAnsi="仿宋" w:eastAsia="仿宋" w:cs="仿宋"/>
                <w:color w:val="auto"/>
                <w:sz w:val="24"/>
                <w:szCs w:val="24"/>
                <w:highlight w:val="none"/>
              </w:rPr>
              <w:t>以上</w:t>
            </w:r>
          </w:p>
        </w:tc>
        <w:tc>
          <w:tcPr>
            <w:tcW w:w="2940" w:type="dxa"/>
            <w:noWrap w:val="0"/>
            <w:vAlign w:val="center"/>
          </w:tcPr>
          <w:p w14:paraId="7842DC85">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C</w:t>
            </w:r>
          </w:p>
        </w:tc>
      </w:tr>
      <w:tr w14:paraId="79EE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421" w:type="dxa"/>
            <w:gridSpan w:val="3"/>
            <w:noWrap w:val="0"/>
            <w:vAlign w:val="center"/>
          </w:tcPr>
          <w:p w14:paraId="032832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auto"/>
                <w:sz w:val="24"/>
                <w:szCs w:val="24"/>
                <w:highlight w:val="none"/>
                <w:lang w:val="en-US" w:eastAsia="zh-CN"/>
              </w:rPr>
              <w:t>备注：每次单项委托（不限评估报告数量）最低收费金额为人民币XXXX元整 。费用结算及发票开具由实际需求的甲方与乙方独立进行，最终结算按本合同约定单价、以实际评估建筑面积为准。乙方需在进行评估前与甲方确认需出具的正式报告的份数，按照甲方要求，按时提交。</w:t>
            </w:r>
          </w:p>
          <w:p w14:paraId="263A8281">
            <w:pPr>
              <w:keepNext w:val="0"/>
              <w:keepLines w:val="0"/>
              <w:pageBreakBefore w:val="0"/>
              <w:widowControl w:val="0"/>
              <w:numPr>
                <w:ilvl w:val="0"/>
                <w:numId w:val="0"/>
              </w:numPr>
              <w:kinsoku/>
              <w:wordWrap/>
              <w:overflowPunct/>
              <w:topLinePunct w:val="0"/>
              <w:bidi w:val="0"/>
              <w:snapToGrid/>
              <w:spacing w:beforeAutospacing="0" w:afterAutospacing="0" w:line="360" w:lineRule="auto"/>
              <w:jc w:val="center"/>
              <w:textAlignment w:val="auto"/>
              <w:rPr>
                <w:rFonts w:hint="eastAsia" w:ascii="仿宋" w:hAnsi="仿宋" w:eastAsia="仿宋" w:cs="仿宋"/>
                <w:color w:val="auto"/>
                <w:sz w:val="24"/>
                <w:szCs w:val="24"/>
                <w:highlight w:val="none"/>
                <w:vertAlign w:val="baseline"/>
                <w:lang w:val="en-US" w:eastAsia="zh-CN"/>
              </w:rPr>
            </w:pPr>
          </w:p>
        </w:tc>
      </w:tr>
    </w:tbl>
    <w:p w14:paraId="13FFF6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color w:val="000000"/>
          <w:kern w:val="0"/>
          <w:sz w:val="24"/>
          <w:szCs w:val="24"/>
          <w:highlight w:val="none"/>
          <w:lang w:val="en-US" w:eastAsia="zh-CN"/>
        </w:rPr>
        <w:t>1、本项目</w:t>
      </w:r>
      <w:r>
        <w:rPr>
          <w:rFonts w:hint="eastAsia" w:ascii="仿宋" w:hAnsi="仿宋" w:eastAsia="仿宋" w:cs="仿宋"/>
          <w:sz w:val="24"/>
          <w:highlight w:val="none"/>
        </w:rPr>
        <w:t>费用包括乙方提供本项服务所发生的一切费用，</w:t>
      </w:r>
      <w:r>
        <w:rPr>
          <w:rFonts w:hint="eastAsia" w:ascii="仿宋" w:hAnsi="仿宋" w:eastAsia="仿宋" w:cs="仿宋"/>
          <w:sz w:val="24"/>
          <w:szCs w:val="24"/>
          <w:highlight w:val="none"/>
        </w:rPr>
        <w:t>包括但不限于</w:t>
      </w:r>
      <w:r>
        <w:rPr>
          <w:rFonts w:hint="eastAsia" w:ascii="仿宋" w:hAnsi="仿宋" w:eastAsia="仿宋" w:cs="仿宋"/>
          <w:sz w:val="24"/>
          <w:szCs w:val="24"/>
          <w:highlight w:val="none"/>
          <w:lang w:val="en-US" w:eastAsia="zh-CN"/>
        </w:rPr>
        <w:t>商业及行政物业租金评估服务项目本身</w:t>
      </w:r>
      <w:r>
        <w:rPr>
          <w:rFonts w:hint="eastAsia" w:ascii="仿宋" w:hAnsi="仿宋" w:eastAsia="仿宋" w:cs="仿宋"/>
          <w:sz w:val="24"/>
          <w:szCs w:val="24"/>
          <w:highlight w:val="none"/>
        </w:rPr>
        <w:t>价格</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lang w:val="en-US" w:eastAsia="zh-CN"/>
        </w:rPr>
        <w:t>人工费、交通费、相关技术服务费、加班费、通讯费、管理费、税费、</w:t>
      </w:r>
      <w:r>
        <w:rPr>
          <w:rFonts w:hint="eastAsia" w:ascii="仿宋" w:hAnsi="仿宋" w:eastAsia="仿宋" w:cs="仿宋"/>
          <w:sz w:val="24"/>
          <w:highlight w:val="none"/>
          <w:u w:val="none"/>
          <w:lang w:val="en-US" w:eastAsia="zh-CN"/>
        </w:rPr>
        <w:t>利润和国家规定的任何收费、商检费、质检费、各项税金（不限于增值税等）等全部费用</w:t>
      </w:r>
      <w:r>
        <w:rPr>
          <w:rFonts w:hint="eastAsia" w:ascii="仿宋" w:hAnsi="仿宋" w:eastAsia="仿宋" w:cs="仿宋"/>
          <w:sz w:val="24"/>
          <w:highlight w:val="none"/>
        </w:rPr>
        <w:t>；还包括因质量问题引起的</w:t>
      </w:r>
      <w:r>
        <w:rPr>
          <w:rFonts w:hint="eastAsia" w:ascii="仿宋" w:hAnsi="仿宋" w:eastAsia="仿宋" w:cs="仿宋"/>
          <w:sz w:val="24"/>
          <w:highlight w:val="none"/>
          <w:lang w:val="en-US" w:eastAsia="zh-CN"/>
        </w:rPr>
        <w:t>维修和更换、整改</w:t>
      </w:r>
      <w:r>
        <w:rPr>
          <w:rFonts w:hint="eastAsia" w:ascii="仿宋" w:hAnsi="仿宋" w:eastAsia="仿宋" w:cs="仿宋"/>
          <w:sz w:val="24"/>
          <w:highlight w:val="none"/>
          <w:lang w:eastAsia="zh-CN"/>
        </w:rPr>
        <w:t>、</w:t>
      </w:r>
      <w:r>
        <w:rPr>
          <w:rFonts w:hint="eastAsia" w:ascii="仿宋" w:hAnsi="仿宋" w:eastAsia="仿宋" w:cs="仿宋"/>
          <w:sz w:val="24"/>
          <w:highlight w:val="none"/>
        </w:rPr>
        <w:t>技术指导和培训等费用；并充分考虑了包括原材料、人工和机械等价格变动在内的一切风险因素</w:t>
      </w:r>
      <w:r>
        <w:rPr>
          <w:rFonts w:hint="eastAsia" w:ascii="仿宋" w:hAnsi="仿宋" w:eastAsia="仿宋" w:cs="仿宋"/>
          <w:sz w:val="24"/>
          <w:szCs w:val="24"/>
          <w:highlight w:val="none"/>
        </w:rPr>
        <w:t>。上述费用已包括</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rPr>
        <w:t>全面、妥善履行本</w:t>
      </w:r>
      <w:r>
        <w:rPr>
          <w:rFonts w:hint="eastAsia" w:ascii="仿宋" w:hAnsi="仿宋" w:eastAsia="仿宋" w:cs="仿宋"/>
          <w:sz w:val="24"/>
          <w:szCs w:val="24"/>
          <w:highlight w:val="none"/>
          <w:lang w:val="en-US" w:eastAsia="zh-CN"/>
        </w:rPr>
        <w:t>项目</w:t>
      </w:r>
      <w:r>
        <w:rPr>
          <w:rFonts w:hint="eastAsia" w:ascii="仿宋" w:hAnsi="仿宋" w:eastAsia="仿宋" w:cs="仿宋"/>
          <w:sz w:val="24"/>
          <w:szCs w:val="24"/>
          <w:highlight w:val="none"/>
        </w:rPr>
        <w:t>下全部义务的一切费用，除非本</w:t>
      </w:r>
      <w:r>
        <w:rPr>
          <w:rFonts w:hint="eastAsia" w:ascii="仿宋" w:hAnsi="仿宋" w:eastAsia="仿宋" w:cs="仿宋"/>
          <w:sz w:val="24"/>
          <w:szCs w:val="24"/>
          <w:highlight w:val="none"/>
          <w:lang w:val="en-US" w:eastAsia="zh-CN"/>
        </w:rPr>
        <w:t>项目</w:t>
      </w:r>
      <w:r>
        <w:rPr>
          <w:rFonts w:hint="eastAsia" w:ascii="仿宋" w:hAnsi="仿宋" w:eastAsia="仿宋" w:cs="仿宋"/>
          <w:sz w:val="24"/>
          <w:szCs w:val="24"/>
          <w:highlight w:val="none"/>
        </w:rPr>
        <w:t>另有书面约定外，</w:t>
      </w:r>
      <w:r>
        <w:rPr>
          <w:rFonts w:hint="eastAsia" w:ascii="仿宋" w:hAnsi="仿宋" w:eastAsia="仿宋" w:cs="仿宋"/>
          <w:sz w:val="24"/>
          <w:szCs w:val="24"/>
          <w:highlight w:val="none"/>
          <w:lang w:val="en-US" w:eastAsia="zh-CN"/>
        </w:rPr>
        <w:t>甲方</w:t>
      </w:r>
      <w:r>
        <w:rPr>
          <w:rFonts w:hint="eastAsia" w:ascii="仿宋" w:hAnsi="仿宋" w:eastAsia="仿宋" w:cs="仿宋"/>
          <w:sz w:val="24"/>
          <w:szCs w:val="24"/>
          <w:highlight w:val="none"/>
        </w:rPr>
        <w:t>不再向</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rPr>
        <w:t>另行支付其他任何费用。</w:t>
      </w:r>
    </w:p>
    <w:p w14:paraId="4E48B1B5">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20"/>
        <w:textAlignment w:val="baseline"/>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2、本项目服务收费按差额定率累进法计算。例如 单项委托单内累计需评估建筑面积为20万㎡，其含税租金评估服务费的计算如下（以含税控制单价为例，具体结算单价以投标供应商的中标价为准）：</w:t>
      </w:r>
    </w:p>
    <w:p w14:paraId="7A0E112D">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20"/>
        <w:textAlignment w:val="baseline"/>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所需含税评估服务费=[1*10</w:t>
      </w:r>
      <w:r>
        <w:rPr>
          <w:rFonts w:hint="eastAsia" w:ascii="仿宋" w:hAnsi="仿宋" w:eastAsia="仿宋" w:cs="仿宋"/>
          <w:sz w:val="24"/>
          <w:szCs w:val="24"/>
          <w:highlight w:val="none"/>
          <w:vertAlign w:val="superscript"/>
          <w:lang w:val="en-US" w:eastAsia="zh-CN"/>
        </w:rPr>
        <w:t>4</w:t>
      </w:r>
      <w:r>
        <w:rPr>
          <w:rFonts w:hint="eastAsia" w:ascii="仿宋" w:hAnsi="仿宋" w:eastAsia="仿宋" w:cs="仿宋"/>
          <w:sz w:val="24"/>
          <w:szCs w:val="24"/>
          <w:highlight w:val="none"/>
          <w:lang w:val="en-US" w:eastAsia="zh-CN"/>
        </w:rPr>
        <w:t xml:space="preserve"> ㎡*A元/㎡+（5-1）*10</w:t>
      </w:r>
      <w:r>
        <w:rPr>
          <w:rFonts w:hint="eastAsia" w:ascii="仿宋" w:hAnsi="仿宋" w:eastAsia="仿宋" w:cs="仿宋"/>
          <w:sz w:val="24"/>
          <w:szCs w:val="24"/>
          <w:highlight w:val="none"/>
          <w:vertAlign w:val="superscript"/>
          <w:lang w:val="en-US" w:eastAsia="zh-CN"/>
        </w:rPr>
        <w:t>4</w:t>
      </w:r>
      <w:r>
        <w:rPr>
          <w:rFonts w:hint="eastAsia" w:ascii="仿宋" w:hAnsi="仿宋" w:eastAsia="仿宋" w:cs="仿宋"/>
          <w:sz w:val="24"/>
          <w:szCs w:val="24"/>
          <w:highlight w:val="none"/>
          <w:lang w:val="en-US" w:eastAsia="zh-CN"/>
        </w:rPr>
        <w:t>㎡*B元/㎡+（20-5）*10</w:t>
      </w:r>
      <w:r>
        <w:rPr>
          <w:rFonts w:hint="eastAsia" w:ascii="仿宋" w:hAnsi="仿宋" w:eastAsia="仿宋" w:cs="仿宋"/>
          <w:sz w:val="24"/>
          <w:szCs w:val="24"/>
          <w:highlight w:val="none"/>
          <w:vertAlign w:val="superscript"/>
          <w:lang w:val="en-US" w:eastAsia="zh-CN"/>
        </w:rPr>
        <w:t>4</w:t>
      </w:r>
      <w:r>
        <w:rPr>
          <w:rFonts w:hint="eastAsia" w:ascii="仿宋" w:hAnsi="仿宋" w:eastAsia="仿宋" w:cs="仿宋"/>
          <w:sz w:val="24"/>
          <w:szCs w:val="24"/>
          <w:highlight w:val="none"/>
          <w:lang w:val="en-US" w:eastAsia="zh-CN"/>
        </w:rPr>
        <w:t>㎡*C元/㎡]*中标费率</w:t>
      </w:r>
    </w:p>
    <w:p w14:paraId="38847280">
      <w:pPr>
        <w:pStyle w:val="12"/>
        <w:numPr>
          <w:ilvl w:val="0"/>
          <w:numId w:val="0"/>
        </w:numPr>
        <w:spacing w:line="560" w:lineRule="exact"/>
        <w:ind w:right="-624" w:rightChars="-297"/>
        <w:jc w:val="both"/>
        <w:outlineLvl w:val="1"/>
        <w:rPr>
          <w:rFonts w:hint="eastAsia" w:ascii="仿宋" w:hAnsi="仿宋" w:eastAsia="仿宋" w:cs="仿宋"/>
          <w:b/>
          <w:color w:val="000000"/>
          <w:sz w:val="24"/>
          <w:szCs w:val="24"/>
          <w:highlight w:val="none"/>
          <w:lang w:val="en-US" w:eastAsia="zh-CN"/>
        </w:rPr>
      </w:pPr>
    </w:p>
    <w:p w14:paraId="32625EBA">
      <w:pPr>
        <w:numPr>
          <w:ilvl w:val="0"/>
          <w:numId w:val="0"/>
        </w:numPr>
        <w:spacing w:line="360" w:lineRule="auto"/>
        <w:ind w:right="-624" w:rightChars="-297" w:firstLine="0" w:firstLineChars="0"/>
        <w:jc w:val="both"/>
        <w:rPr>
          <w:rFonts w:hint="eastAsia" w:ascii="仿宋" w:hAnsi="仿宋" w:eastAsia="仿宋" w:cs="仿宋"/>
          <w:sz w:val="24"/>
          <w:szCs w:val="24"/>
          <w:highlight w:val="none"/>
        </w:rPr>
      </w:pPr>
    </w:p>
    <w:sectPr>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Bingo chen" w:date="2026-08-10T12:00:00Z" w:initials="">
    <w:p w14:paraId="25224908">
      <w:pPr>
        <w:pStyle w:val="4"/>
        <w:rPr>
          <w:rFonts w:hint="eastAsia" w:eastAsia="宋体"/>
          <w:lang w:val="en-US" w:eastAsia="zh-CN"/>
        </w:rPr>
      </w:pPr>
      <w:r>
        <w:rPr>
          <w:rFonts w:hint="eastAsia"/>
          <w:lang w:val="en-US" w:eastAsia="zh-CN"/>
        </w:rPr>
        <w:t>新增</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52249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8A17A"/>
    <w:multiLevelType w:val="singleLevel"/>
    <w:tmpl w:val="B308A17A"/>
    <w:lvl w:ilvl="0" w:tentative="0">
      <w:start w:val="1"/>
      <w:numFmt w:val="chineseCounting"/>
      <w:suff w:val="nothing"/>
      <w:lvlText w:val="（%1）"/>
      <w:lvlJc w:val="left"/>
      <w:rPr>
        <w:rFonts w:hint="eastAsia"/>
      </w:rPr>
    </w:lvl>
  </w:abstractNum>
  <w:abstractNum w:abstractNumId="1">
    <w:nsid w:val="04AA64A9"/>
    <w:multiLevelType w:val="multilevel"/>
    <w:tmpl w:val="04AA64A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68E47A3"/>
    <w:multiLevelType w:val="multilevel"/>
    <w:tmpl w:val="268E47A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BD36960"/>
    <w:multiLevelType w:val="multilevel"/>
    <w:tmpl w:val="2BD36960"/>
    <w:lvl w:ilvl="0" w:tentative="0">
      <w:start w:val="1"/>
      <w:numFmt w:val="chineseCountingThousand"/>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2ED67876"/>
    <w:multiLevelType w:val="multilevel"/>
    <w:tmpl w:val="2ED67876"/>
    <w:lvl w:ilvl="0" w:tentative="0">
      <w:start w:val="1"/>
      <w:numFmt w:val="chineseCountingThousand"/>
      <w:lvlText w:val="(%1)"/>
      <w:lvlJc w:val="left"/>
      <w:pPr>
        <w:ind w:left="845" w:hanging="425"/>
      </w:pPr>
      <w:rPr>
        <w:rFonts w:hint="default"/>
      </w:rPr>
    </w:lvl>
    <w:lvl w:ilvl="1" w:tentative="0">
      <w:start w:val="1"/>
      <w:numFmt w:val="lowerLetter"/>
      <w:lvlText w:val="%2."/>
      <w:lvlJc w:val="left"/>
      <w:pPr>
        <w:tabs>
          <w:tab w:val="left" w:pos="1260"/>
        </w:tabs>
        <w:ind w:left="1260" w:hanging="420"/>
      </w:pPr>
      <w:rPr>
        <w:rFonts w:hint="default"/>
      </w:rPr>
    </w:lvl>
    <w:lvl w:ilvl="2" w:tentative="0">
      <w:start w:val="1"/>
      <w:numFmt w:val="lowerLetter"/>
      <w:lvlText w:val="%3)"/>
      <w:lvlJc w:val="left"/>
      <w:pPr>
        <w:tabs>
          <w:tab w:val="left" w:pos="1680"/>
        </w:tabs>
        <w:ind w:left="1680" w:hanging="420"/>
      </w:pPr>
      <w:rPr>
        <w:rFonts w:hint="default"/>
      </w:rPr>
    </w:lvl>
    <w:lvl w:ilvl="3" w:tentative="0">
      <w:start w:val="1"/>
      <w:numFmt w:val="lowerRoman"/>
      <w:lvlText w:val="%4."/>
      <w:lvlJc w:val="left"/>
      <w:pPr>
        <w:tabs>
          <w:tab w:val="left" w:pos="2100"/>
        </w:tabs>
        <w:ind w:left="2100" w:hanging="420"/>
      </w:pPr>
      <w:rPr>
        <w:rFonts w:hint="default"/>
      </w:rPr>
    </w:lvl>
    <w:lvl w:ilvl="4" w:tentative="0">
      <w:start w:val="1"/>
      <w:numFmt w:val="lowerRoman"/>
      <w:lvlText w:val="%5)"/>
      <w:lvlJc w:val="left"/>
      <w:pPr>
        <w:tabs>
          <w:tab w:val="left" w:pos="2520"/>
        </w:tabs>
        <w:ind w:left="2520" w:hanging="420"/>
      </w:pPr>
      <w:rPr>
        <w:rFonts w:hint="default"/>
      </w:rPr>
    </w:lvl>
    <w:lvl w:ilvl="5" w:tentative="0">
      <w:start w:val="1"/>
      <w:numFmt w:val="lowerLetter"/>
      <w:lvlText w:val="%6."/>
      <w:lvlJc w:val="left"/>
      <w:pPr>
        <w:tabs>
          <w:tab w:val="left" w:pos="2940"/>
        </w:tabs>
        <w:ind w:left="2940" w:hanging="420"/>
      </w:pPr>
      <w:rPr>
        <w:rFonts w:hint="default"/>
      </w:rPr>
    </w:lvl>
    <w:lvl w:ilvl="6" w:tentative="0">
      <w:start w:val="1"/>
      <w:numFmt w:val="lowerLetter"/>
      <w:lvlText w:val="%7)"/>
      <w:lvlJc w:val="left"/>
      <w:pPr>
        <w:tabs>
          <w:tab w:val="left" w:pos="3360"/>
        </w:tabs>
        <w:ind w:left="3360" w:hanging="420"/>
      </w:pPr>
      <w:rPr>
        <w:rFonts w:hint="default"/>
      </w:rPr>
    </w:lvl>
    <w:lvl w:ilvl="7" w:tentative="0">
      <w:start w:val="1"/>
      <w:numFmt w:val="lowerRoman"/>
      <w:lvlText w:val="%8."/>
      <w:lvlJc w:val="left"/>
      <w:pPr>
        <w:tabs>
          <w:tab w:val="left" w:pos="3780"/>
        </w:tabs>
        <w:ind w:left="3780" w:hanging="420"/>
      </w:pPr>
      <w:rPr>
        <w:rFonts w:hint="default"/>
      </w:rPr>
    </w:lvl>
    <w:lvl w:ilvl="8" w:tentative="0">
      <w:start w:val="1"/>
      <w:numFmt w:val="lowerRoman"/>
      <w:lvlText w:val="%9)"/>
      <w:lvlJc w:val="left"/>
      <w:pPr>
        <w:tabs>
          <w:tab w:val="left" w:pos="4200"/>
        </w:tabs>
        <w:ind w:left="4200" w:hanging="420"/>
      </w:pPr>
      <w:rPr>
        <w:rFonts w:hint="default"/>
      </w:rPr>
    </w:lvl>
  </w:abstractNum>
  <w:abstractNum w:abstractNumId="5">
    <w:nsid w:val="319D04CC"/>
    <w:multiLevelType w:val="multilevel"/>
    <w:tmpl w:val="319D04CC"/>
    <w:lvl w:ilvl="0" w:tentative="0">
      <w:start w:val="1"/>
      <w:numFmt w:val="chineseCountingThousand"/>
      <w:lvlText w:val="%1、"/>
      <w:lvlJc w:val="left"/>
      <w:pPr>
        <w:ind w:left="7792"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8321BDE"/>
    <w:multiLevelType w:val="multilevel"/>
    <w:tmpl w:val="68321BD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3"/>
  </w:num>
  <w:num w:numId="4">
    <w:abstractNumId w:val="6"/>
  </w:num>
  <w:num w:numId="5">
    <w:abstractNumId w:val="2"/>
  </w:num>
  <w:num w:numId="6">
    <w:abstractNumId w:val="0"/>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ingo chen">
    <w15:presenceInfo w15:providerId="None" w15:userId="Bingo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zMTFiNTcwMmEwYjhjNzE3ODgxZGNhYjljNWNkNzUifQ=="/>
  </w:docVars>
  <w:rsids>
    <w:rsidRoot w:val="00172A27"/>
    <w:rsid w:val="00036AC6"/>
    <w:rsid w:val="000829A5"/>
    <w:rsid w:val="000D22E1"/>
    <w:rsid w:val="0012295B"/>
    <w:rsid w:val="00130F79"/>
    <w:rsid w:val="00136AFA"/>
    <w:rsid w:val="00151C38"/>
    <w:rsid w:val="002623D3"/>
    <w:rsid w:val="002869FB"/>
    <w:rsid w:val="002B7128"/>
    <w:rsid w:val="0035380B"/>
    <w:rsid w:val="003637B3"/>
    <w:rsid w:val="00383B1D"/>
    <w:rsid w:val="00414B6F"/>
    <w:rsid w:val="00511CD5"/>
    <w:rsid w:val="00595EA2"/>
    <w:rsid w:val="006000FF"/>
    <w:rsid w:val="006936EF"/>
    <w:rsid w:val="006B61A2"/>
    <w:rsid w:val="007603E1"/>
    <w:rsid w:val="00767F20"/>
    <w:rsid w:val="00787F5E"/>
    <w:rsid w:val="007F25A4"/>
    <w:rsid w:val="00856010"/>
    <w:rsid w:val="00903865"/>
    <w:rsid w:val="00970CB7"/>
    <w:rsid w:val="009A2568"/>
    <w:rsid w:val="009F1029"/>
    <w:rsid w:val="009F7C0A"/>
    <w:rsid w:val="00A36336"/>
    <w:rsid w:val="00A52C5F"/>
    <w:rsid w:val="00A53697"/>
    <w:rsid w:val="00A636B0"/>
    <w:rsid w:val="00A87130"/>
    <w:rsid w:val="00AC6640"/>
    <w:rsid w:val="00B15F11"/>
    <w:rsid w:val="00B341C7"/>
    <w:rsid w:val="00B54578"/>
    <w:rsid w:val="00B57CBF"/>
    <w:rsid w:val="00B91EF6"/>
    <w:rsid w:val="00BC1C17"/>
    <w:rsid w:val="00BC27DB"/>
    <w:rsid w:val="00BD35E8"/>
    <w:rsid w:val="00C1074E"/>
    <w:rsid w:val="00C27F0E"/>
    <w:rsid w:val="00C43475"/>
    <w:rsid w:val="00CF7327"/>
    <w:rsid w:val="00D505ED"/>
    <w:rsid w:val="00E24F38"/>
    <w:rsid w:val="00EA006E"/>
    <w:rsid w:val="00EA0F07"/>
    <w:rsid w:val="00F75631"/>
    <w:rsid w:val="00FA0AE6"/>
    <w:rsid w:val="01696C8B"/>
    <w:rsid w:val="01CA5CC8"/>
    <w:rsid w:val="01EA636A"/>
    <w:rsid w:val="0DBB4861"/>
    <w:rsid w:val="0F7B46BB"/>
    <w:rsid w:val="0F992B37"/>
    <w:rsid w:val="104B0AFC"/>
    <w:rsid w:val="10A9313E"/>
    <w:rsid w:val="116E6670"/>
    <w:rsid w:val="13D50C28"/>
    <w:rsid w:val="13DF2A21"/>
    <w:rsid w:val="13FC0E4E"/>
    <w:rsid w:val="143F2545"/>
    <w:rsid w:val="15D06B0D"/>
    <w:rsid w:val="16C2441F"/>
    <w:rsid w:val="18786026"/>
    <w:rsid w:val="18B05C64"/>
    <w:rsid w:val="18BC6CD7"/>
    <w:rsid w:val="1DCA2E4E"/>
    <w:rsid w:val="1F1375A4"/>
    <w:rsid w:val="1F3B63F9"/>
    <w:rsid w:val="1F9B0FFA"/>
    <w:rsid w:val="203A7297"/>
    <w:rsid w:val="206A3448"/>
    <w:rsid w:val="23897429"/>
    <w:rsid w:val="268A0C8B"/>
    <w:rsid w:val="27B83E72"/>
    <w:rsid w:val="27F21951"/>
    <w:rsid w:val="2AEB08D9"/>
    <w:rsid w:val="2BEB563A"/>
    <w:rsid w:val="2CD07C33"/>
    <w:rsid w:val="2E2D6BC9"/>
    <w:rsid w:val="337F04E3"/>
    <w:rsid w:val="33A01BCA"/>
    <w:rsid w:val="36BB6E6F"/>
    <w:rsid w:val="37B66A80"/>
    <w:rsid w:val="37CA0BAC"/>
    <w:rsid w:val="3B8F3D5D"/>
    <w:rsid w:val="3D6F7FE7"/>
    <w:rsid w:val="3E2E0F49"/>
    <w:rsid w:val="4143420A"/>
    <w:rsid w:val="42A75112"/>
    <w:rsid w:val="43845599"/>
    <w:rsid w:val="44E77C9D"/>
    <w:rsid w:val="475549AF"/>
    <w:rsid w:val="481E3157"/>
    <w:rsid w:val="49A5442D"/>
    <w:rsid w:val="4A8634EA"/>
    <w:rsid w:val="4B244B0A"/>
    <w:rsid w:val="4EB35541"/>
    <w:rsid w:val="4F557A9F"/>
    <w:rsid w:val="4FFA0381"/>
    <w:rsid w:val="511354FE"/>
    <w:rsid w:val="51863512"/>
    <w:rsid w:val="52C17539"/>
    <w:rsid w:val="52D70712"/>
    <w:rsid w:val="55313209"/>
    <w:rsid w:val="58FB05CC"/>
    <w:rsid w:val="5A48142E"/>
    <w:rsid w:val="5D336958"/>
    <w:rsid w:val="5F8C268C"/>
    <w:rsid w:val="60C146E6"/>
    <w:rsid w:val="618D5B89"/>
    <w:rsid w:val="61DC0B50"/>
    <w:rsid w:val="62037CDB"/>
    <w:rsid w:val="64F5101F"/>
    <w:rsid w:val="65307AB3"/>
    <w:rsid w:val="670D29D6"/>
    <w:rsid w:val="6818759B"/>
    <w:rsid w:val="68F5423C"/>
    <w:rsid w:val="69B610FC"/>
    <w:rsid w:val="69E52A8C"/>
    <w:rsid w:val="6AF54EF7"/>
    <w:rsid w:val="6BF80AE8"/>
    <w:rsid w:val="6CCB4315"/>
    <w:rsid w:val="70221453"/>
    <w:rsid w:val="71050E22"/>
    <w:rsid w:val="72693B8A"/>
    <w:rsid w:val="72775257"/>
    <w:rsid w:val="74FC6F38"/>
    <w:rsid w:val="75C003BD"/>
    <w:rsid w:val="768E0793"/>
    <w:rsid w:val="76B63B99"/>
    <w:rsid w:val="76D812DE"/>
    <w:rsid w:val="78147E6C"/>
    <w:rsid w:val="7E5806EC"/>
    <w:rsid w:val="7EF12F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4">
    <w:name w:val="annotation text"/>
    <w:basedOn w:val="1"/>
    <w:uiPriority w:val="0"/>
    <w:pPr>
      <w:jc w:val="left"/>
    </w:pPr>
  </w:style>
  <w:style w:type="paragraph" w:styleId="5">
    <w:name w:val="Body Text"/>
    <w:basedOn w:val="1"/>
    <w:next w:val="1"/>
    <w:unhideWhenUsed/>
    <w:qFormat/>
    <w:uiPriority w:val="0"/>
    <w:pPr>
      <w:spacing w:line="360" w:lineRule="auto"/>
    </w:pPr>
    <w:rPr>
      <w:rFonts w:ascii="宋体" w:hAnsi="宋体"/>
      <w:sz w:val="2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0"/>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字符"/>
    <w:link w:val="7"/>
    <w:uiPriority w:val="0"/>
    <w:rPr>
      <w:rFonts w:ascii="Calibri" w:hAnsi="Calibri"/>
      <w:kern w:val="2"/>
      <w:sz w:val="18"/>
      <w:szCs w:val="18"/>
    </w:rPr>
  </w:style>
  <w:style w:type="character" w:customStyle="1" w:styleId="11">
    <w:name w:val="Body text|4_"/>
    <w:link w:val="12"/>
    <w:qFormat/>
    <w:uiPriority w:val="0"/>
    <w:rPr>
      <w:sz w:val="30"/>
      <w:szCs w:val="30"/>
      <w:lang w:val="zh-TW" w:eastAsia="zh-TW" w:bidi="zh-TW"/>
    </w:rPr>
  </w:style>
  <w:style w:type="paragraph" w:customStyle="1" w:styleId="12">
    <w:name w:val="Body text|4"/>
    <w:basedOn w:val="1"/>
    <w:link w:val="11"/>
    <w:qFormat/>
    <w:uiPriority w:val="0"/>
    <w:pPr>
      <w:jc w:val="center"/>
    </w:pPr>
    <w:rPr>
      <w:rFonts w:ascii="Times New Roman" w:hAnsi="Times New Roman"/>
      <w:kern w:val="0"/>
      <w:sz w:val="30"/>
      <w:szCs w:val="30"/>
      <w:lang w:val="zh-TW" w:eastAsia="zh-TW" w:bidi="zh-TW"/>
    </w:rPr>
  </w:style>
  <w:style w:type="paragraph" w:customStyle="1" w:styleId="13">
    <w:name w:val="普通 (Web)"/>
    <w:basedOn w:val="1"/>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10</Pages>
  <Words>5128</Words>
  <Characters>5183</Characters>
  <Lines>31</Lines>
  <Paragraphs>8</Paragraphs>
  <TotalTime>7</TotalTime>
  <ScaleCrop>false</ScaleCrop>
  <LinksUpToDate>false</LinksUpToDate>
  <CharactersWithSpaces>5244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2021-08-20T06:16:00Z</dcterms:created>
  <dc:creator>admin</dc:creator>
  <cp:lastModifiedBy>FangFang</cp:lastModifiedBy>
  <cp:lastPrinted>2021-08-20T08:33:00Z</cp:lastPrinted>
  <dcterms:modified xsi:type="dcterms:W3CDTF">2026-09-17T07:11:00Z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545900A52680401EB9243631C581AE9C_13</vt:lpwstr>
  </property>
  <property fmtid="{D5CDD505-2E9C-101B-9397-08002B2CF9AE}" pid="4" name="KSOTemplateDocerSaveRecord">
    <vt:lpwstr>eyJoZGlkIjoiMDY3NDJhYjc5MGU2ZGU0ZWMxNTQ0MjgyNWM3MWU0MmMiLCJ1c2VySWQiOiI2MTY2ODI5ODcifQ==</vt:lpwstr>
  </property>
</Properties>
</file>