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ascii="黑体" w:hAnsi="黑体" w:eastAsia="黑体" w:cs="黑体"/>
          <w:b/>
          <w:kern w:val="44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/>
          <w:kern w:val="44"/>
          <w:sz w:val="18"/>
          <w:szCs w:val="18"/>
          <w:lang w:val="en-US" w:eastAsia="zh-CN"/>
        </w:rPr>
        <w:t>附件1：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  <w:lang w:val="en-US" w:eastAsia="zh-CN"/>
        </w:rPr>
        <w:t>珠海正方睿信城市运营</w:t>
      </w:r>
      <w:r>
        <w:rPr>
          <w:rFonts w:hint="eastAsia" w:ascii="黑体" w:hAnsi="黑体" w:eastAsia="黑体" w:cs="黑体"/>
          <w:b/>
          <w:kern w:val="44"/>
          <w:sz w:val="44"/>
          <w:szCs w:val="44"/>
        </w:rPr>
        <w:t>有限公司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</w:rPr>
        <w:t>股权评估报告服务采购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</w:rPr>
        <w:t>技术任务书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202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36"/>
        </w:rPr>
        <w:t>年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36"/>
        </w:rPr>
        <w:t>月</w:t>
      </w: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ind w:firstLine="600" w:firstLineChars="200"/>
        <w:rPr>
          <w:rFonts w:ascii="Times New Roman" w:hAnsi="Times New Roman" w:eastAsia="黑体" w:cs="Times New Roman"/>
          <w:b/>
          <w:bCs/>
          <w:szCs w:val="30"/>
        </w:rPr>
      </w:pPr>
      <w:r>
        <w:rPr>
          <w:rFonts w:hint="eastAsia" w:ascii="黑体" w:hAnsi="黑体" w:eastAsia="黑体" w:cs="黑体"/>
          <w:b w:val="0"/>
          <w:bCs w:val="0"/>
          <w:szCs w:val="30"/>
        </w:rPr>
        <w:t>一、</w:t>
      </w:r>
      <w:r>
        <w:rPr>
          <w:rFonts w:hint="eastAsia" w:ascii="Times New Roman" w:hAnsi="Times New Roman" w:eastAsia="黑体" w:cs="Times New Roman"/>
          <w:b w:val="0"/>
          <w:bCs w:val="0"/>
          <w:szCs w:val="30"/>
        </w:rPr>
        <w:t>服务名称</w:t>
      </w:r>
    </w:p>
    <w:p>
      <w:pPr>
        <w:ind w:firstLine="600" w:firstLineChars="200"/>
      </w:pPr>
      <w:r>
        <w:rPr>
          <w:rFonts w:hint="eastAsia"/>
        </w:rPr>
        <w:t>股权评估报告服务。</w:t>
      </w:r>
    </w:p>
    <w:p>
      <w:pPr>
        <w:ind w:firstLine="600" w:firstLineChars="200"/>
        <w:rPr>
          <w:rFonts w:ascii="Times New Roman" w:hAnsi="Times New Roman" w:eastAsia="黑体" w:cs="Times New Roman"/>
          <w:szCs w:val="30"/>
        </w:rPr>
      </w:pPr>
      <w:r>
        <w:rPr>
          <w:rFonts w:hint="eastAsia" w:ascii="黑体" w:hAnsi="黑体" w:eastAsia="黑体" w:cs="黑体"/>
          <w:szCs w:val="30"/>
        </w:rPr>
        <w:t>二、</w:t>
      </w:r>
      <w:r>
        <w:rPr>
          <w:rFonts w:hint="eastAsia" w:ascii="Times New Roman" w:hAnsi="Times New Roman" w:eastAsia="黑体" w:cs="Times New Roman"/>
          <w:szCs w:val="30"/>
        </w:rPr>
        <w:t>招标单位名称</w:t>
      </w:r>
    </w:p>
    <w:p>
      <w:pPr>
        <w:ind w:firstLine="600" w:firstLineChars="200"/>
      </w:pPr>
      <w:r>
        <w:t>珠海正方</w:t>
      </w:r>
      <w:r>
        <w:rPr>
          <w:rFonts w:hint="eastAsia"/>
          <w:lang w:val="en-US" w:eastAsia="zh-CN"/>
        </w:rPr>
        <w:t>城市发展</w:t>
      </w:r>
      <w:r>
        <w:t>集团有限公司</w:t>
      </w:r>
      <w:r>
        <w:rPr>
          <w:rFonts w:hint="eastAsia"/>
        </w:rPr>
        <w:t>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三、</w:t>
      </w:r>
      <w:r>
        <w:rPr>
          <w:rFonts w:ascii="Times New Roman" w:hAnsi="Times New Roman" w:eastAsia="黑体" w:cs="Times New Roman"/>
          <w:b w:val="0"/>
          <w:bCs w:val="0"/>
          <w:sz w:val="28"/>
          <w:szCs w:val="28"/>
        </w:rPr>
        <w:t>服务内容</w:t>
      </w:r>
    </w:p>
    <w:p>
      <w:pPr>
        <w:ind w:firstLine="600" w:firstLineChars="200"/>
      </w:pPr>
      <w:r>
        <w:rPr>
          <w:rFonts w:hint="eastAsia"/>
        </w:rPr>
        <w:t>（一）根据项目情况</w:t>
      </w:r>
      <w:r>
        <w:t>制定和出具</w:t>
      </w:r>
      <w:r>
        <w:rPr>
          <w:rFonts w:hint="eastAsia"/>
        </w:rPr>
        <w:t>股权评估报告。</w:t>
      </w:r>
    </w:p>
    <w:p>
      <w:pPr>
        <w:ind w:firstLine="600" w:firstLineChars="200"/>
      </w:pPr>
      <w:r>
        <w:rPr>
          <w:rFonts w:hint="eastAsia"/>
        </w:rPr>
        <w:t>（二）出具股权评估报告包括但不限于以下内容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1.公司概况</w:t>
      </w:r>
    </w:p>
    <w:p>
      <w:pPr>
        <w:ind w:firstLine="600" w:firstLineChars="200"/>
      </w:pPr>
      <w:r>
        <w:rPr>
          <w:rFonts w:hint="eastAsia"/>
        </w:rPr>
        <w:t>公司注册信息、股东结构、股东情况、历史沿革、业务模式、经营范围、人员概况。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2.组织架构与制度</w:t>
      </w:r>
    </w:p>
    <w:p>
      <w:pPr>
        <w:ind w:firstLine="600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/>
        </w:rPr>
        <w:t>核查公司的组织架构；核查公司的各项制度，如财务制度、研发制度、奖励制度等；</w:t>
      </w:r>
    </w:p>
    <w:p>
      <w:pPr>
        <w:ind w:firstLine="602" w:firstLineChars="200"/>
        <w:rPr>
          <w:rFonts w:hint="eastAsia" w:ascii="仿宋" w:hAnsi="仿宋" w:eastAsia="仿宋" w:cs="仿宋"/>
          <w:b/>
          <w:bCs/>
          <w:szCs w:val="30"/>
          <w:lang w:val="en-US" w:eastAsia="zh-CN"/>
        </w:rPr>
      </w:pPr>
      <w:r>
        <w:rPr>
          <w:rFonts w:hint="eastAsia" w:ascii="仿宋" w:hAnsi="仿宋" w:cs="仿宋"/>
          <w:b/>
          <w:bCs/>
          <w:szCs w:val="30"/>
        </w:rPr>
        <w:t>3.业务</w:t>
      </w:r>
      <w:r>
        <w:rPr>
          <w:rFonts w:hint="eastAsia" w:ascii="仿宋" w:hAnsi="仿宋" w:cs="仿宋"/>
          <w:b/>
          <w:bCs/>
          <w:szCs w:val="30"/>
          <w:lang w:val="en-US" w:eastAsia="zh-CN"/>
        </w:rPr>
        <w:t>情况</w:t>
      </w:r>
    </w:p>
    <w:p>
      <w:pPr>
        <w:ind w:firstLine="600" w:firstLineChars="200"/>
        <w:rPr>
          <w:rFonts w:hint="eastAsia" w:eastAsia="仿宋"/>
          <w:lang w:eastAsia="zh-CN"/>
        </w:rPr>
      </w:pPr>
      <w:r>
        <w:rPr>
          <w:rFonts w:hint="eastAsia"/>
        </w:rPr>
        <w:t>核查公司拟</w:t>
      </w:r>
      <w:r>
        <w:rPr>
          <w:rFonts w:hint="eastAsia"/>
          <w:lang w:val="en-US" w:eastAsia="zh-CN"/>
        </w:rPr>
        <w:t>推进项目</w:t>
      </w:r>
      <w:r>
        <w:rPr>
          <w:rFonts w:hint="eastAsia"/>
        </w:rPr>
        <w:t>的情况，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名称、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计划时间表等</w:t>
      </w:r>
      <w:r>
        <w:rPr>
          <w:rFonts w:hint="eastAsia"/>
          <w:lang w:eastAsia="zh-CN"/>
        </w:rPr>
        <w:t>；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4.财务情况</w:t>
      </w:r>
    </w:p>
    <w:p>
      <w:pPr>
        <w:ind w:firstLine="600" w:firstLineChars="200"/>
      </w:pPr>
      <w:r>
        <w:rPr>
          <w:rFonts w:hint="eastAsia"/>
        </w:rPr>
        <w:t>核查公司的主要资产，固定资产、无形资产、使用权资产等；</w:t>
      </w:r>
    </w:p>
    <w:p>
      <w:pPr>
        <w:ind w:firstLine="600" w:firstLineChars="200"/>
      </w:pPr>
      <w:r>
        <w:rPr>
          <w:rFonts w:hint="eastAsia"/>
        </w:rPr>
        <w:t>核查公司的收入、成本费用、利润情况；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5.财务预测</w:t>
      </w:r>
    </w:p>
    <w:p>
      <w:pPr>
        <w:spacing w:line="240" w:lineRule="auto"/>
      </w:pPr>
      <w:r>
        <w:rPr>
          <w:rFonts w:hint="eastAsia"/>
        </w:rPr>
        <w:t xml:space="preserve">    预测未来一定期限内公司的收入、成本费用、净利润和现金流情况；</w:t>
      </w:r>
    </w:p>
    <w:p>
      <w:pPr>
        <w:ind w:firstLine="602" w:firstLineChars="200"/>
        <w:rPr>
          <w:rFonts w:hint="eastAsia" w:ascii="仿宋" w:hAnsi="仿宋" w:cs="仿宋"/>
          <w:b/>
          <w:bCs/>
          <w:szCs w:val="30"/>
        </w:rPr>
      </w:pPr>
      <w:r>
        <w:rPr>
          <w:rFonts w:hint="eastAsia" w:ascii="仿宋" w:hAnsi="仿宋" w:cs="仿宋"/>
          <w:b/>
          <w:bCs/>
          <w:szCs w:val="30"/>
        </w:rPr>
        <w:t>6.权益价值评估</w:t>
      </w:r>
    </w:p>
    <w:p>
      <w:pPr>
        <w:ind w:firstLine="600" w:firstLineChars="200"/>
      </w:pPr>
      <w:r>
        <w:rPr>
          <w:rFonts w:hint="eastAsia"/>
        </w:rPr>
        <w:t>根据充分的资料，选择不少于两种评估方法对公司全部的权益价值进行评估；</w:t>
      </w:r>
    </w:p>
    <w:p>
      <w:pPr>
        <w:ind w:firstLine="600" w:firstLineChars="200"/>
      </w:pPr>
      <w:r>
        <w:t>*具体服务内容以专项服务合同约定为准。</w:t>
      </w:r>
    </w:p>
    <w:p>
      <w:pPr>
        <w:widowControl/>
        <w:ind w:firstLine="600" w:firstLineChars="200"/>
        <w:jc w:val="left"/>
      </w:pPr>
      <w:r>
        <w:rPr>
          <w:rFonts w:hint="eastAsia"/>
        </w:rPr>
        <w:t>股权评估报告中需包含不少于</w:t>
      </w:r>
      <w:r>
        <w:rPr>
          <w:rFonts w:hint="eastAsia" w:ascii="仿宋" w:hAnsi="仿宋" w:cs="仿宋"/>
        </w:rPr>
        <w:t>3</w:t>
      </w:r>
      <w:r>
        <w:rPr>
          <w:rFonts w:hint="eastAsia"/>
        </w:rPr>
        <w:t>位该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bidi="ar"/>
        </w:rPr>
        <w:t>领域专业</w:t>
      </w:r>
      <w:r>
        <w:rPr>
          <w:rFonts w:hint="eastAsia"/>
        </w:rPr>
        <w:t>专家的意见，需各专家出具单独的意见表并签字。专家要求为</w:t>
      </w:r>
      <w:r>
        <w:t>资产类专家，具备注册资产评估师执业资格，专职从事资产评估，在企业价值评估、固定资产评估等方面具有丰富经验。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四、工作要求</w:t>
      </w:r>
    </w:p>
    <w:p>
      <w:pPr>
        <w:ind w:firstLine="600" w:firstLineChars="200"/>
      </w:pPr>
      <w:r>
        <w:t>（一）中标后，中标人接到正式委托函之日起</w:t>
      </w:r>
      <w:r>
        <w:rPr>
          <w:rFonts w:hint="eastAsia" w:ascii="仿宋" w:hAnsi="仿宋" w:cs="仿宋"/>
          <w:lang w:val="en-US" w:eastAsia="zh-CN"/>
        </w:rPr>
        <w:t>20</w:t>
      </w:r>
      <w:r>
        <w:t>个工作日内提交报告</w:t>
      </w:r>
      <w:bookmarkStart w:id="1" w:name="_GoBack"/>
      <w:r>
        <w:t>（初稿）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二</w:t>
      </w:r>
      <w:r>
        <w:t>）如招标人对报告（初稿）有修改意见，需在招标人提出修改意见后的</w:t>
      </w:r>
      <w:r>
        <w:rPr>
          <w:rFonts w:ascii="仿宋" w:hAnsi="仿宋" w:cs="仿宋"/>
        </w:rPr>
        <w:t>3个</w:t>
      </w:r>
      <w:r>
        <w:t>工作日内作出修改；如采购人无相关修改意见，则在招标人确认通知</w:t>
      </w:r>
      <w:r>
        <w:rPr>
          <w:rFonts w:ascii="仿宋" w:hAnsi="仿宋" w:cs="仿宋"/>
        </w:rPr>
        <w:t>后的</w:t>
      </w:r>
      <w:r>
        <w:rPr>
          <w:rFonts w:hint="eastAsia" w:ascii="仿宋" w:hAnsi="仿宋" w:cs="仿宋"/>
        </w:rPr>
        <w:t>3</w:t>
      </w:r>
      <w:r>
        <w:rPr>
          <w:rFonts w:ascii="仿宋" w:hAnsi="仿宋" w:cs="仿宋"/>
        </w:rPr>
        <w:t>个</w:t>
      </w:r>
      <w:r>
        <w:t>工作日内出具正式盖章的</w:t>
      </w:r>
      <w:r>
        <w:rPr>
          <w:rFonts w:hint="eastAsia"/>
        </w:rPr>
        <w:t>股权评估</w:t>
      </w:r>
      <w:r>
        <w:t>报告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三</w:t>
      </w:r>
      <w:r>
        <w:t>）服务期限为中标通知书发出之日起至项目完成时止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四</w:t>
      </w:r>
      <w:r>
        <w:t>）报价中应包含为完成该项服务所支出的</w:t>
      </w:r>
      <w:r>
        <w:rPr>
          <w:rFonts w:hint="eastAsia"/>
        </w:rPr>
        <w:t>专家评审费、</w:t>
      </w:r>
      <w:r>
        <w:t>国内交通费、差旅费</w:t>
      </w:r>
      <w:r>
        <w:rPr>
          <w:rFonts w:hint="eastAsia"/>
        </w:rPr>
        <w:t>、住宿费、伙食费、材料费等</w:t>
      </w:r>
      <w:r>
        <w:t>，因中标人开展工作产生的上述费用不得要求招标人报销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五</w:t>
      </w:r>
      <w:r>
        <w:t>）报告出具后，需发送一份成果扫描版给招标人，</w:t>
      </w:r>
      <w:r>
        <w:rPr>
          <w:rFonts w:ascii="仿宋" w:hAnsi="仿宋" w:cs="仿宋"/>
        </w:rPr>
        <w:t>并装订6</w:t>
      </w:r>
      <w:r>
        <w:t>份成果文件送招标人存档</w:t>
      </w:r>
      <w:r>
        <w:rPr>
          <w:rFonts w:hint="eastAsia"/>
        </w:rPr>
        <w:t>（具体</w:t>
      </w:r>
      <w:r>
        <w:t>专项服务合同约定</w:t>
      </w:r>
      <w:r>
        <w:rPr>
          <w:rFonts w:hint="eastAsia"/>
        </w:rPr>
        <w:t>为准）。</w:t>
      </w:r>
    </w:p>
    <w:p>
      <w:pPr>
        <w:ind w:firstLine="600" w:firstLineChars="200"/>
      </w:pPr>
      <w:r>
        <w:t>（</w:t>
      </w:r>
      <w:r>
        <w:rPr>
          <w:rFonts w:hint="eastAsia"/>
        </w:rPr>
        <w:t>六</w:t>
      </w:r>
      <w:r>
        <w:t>）专项服务期内，中标人需接受招标人的管理及业绩考核，对存在不能充分履职、未有效完成招标人提</w:t>
      </w:r>
      <w:bookmarkEnd w:id="1"/>
      <w:r>
        <w:t>出的服务需求、违规或违约等情形的，招标人将采取扣减服务费、解除合同、追究损害赔偿责任等方式</w:t>
      </w:r>
      <w:r>
        <w:rPr>
          <w:rFonts w:ascii="仿宋" w:hAnsi="仿宋" w:cs="仿宋"/>
        </w:rPr>
        <w:t>维护自身</w:t>
      </w:r>
      <w:r>
        <w:t>合法权益。</w:t>
      </w:r>
    </w:p>
    <w:p>
      <w:pPr>
        <w:ind w:firstLine="600" w:firstLineChars="200"/>
        <w:jc w:val="left"/>
        <w:rPr>
          <w:rFonts w:hint="eastAsia" w:ascii="仿宋" w:hAnsi="仿宋" w:cs="仿宋"/>
        </w:rPr>
      </w:pPr>
      <w:r>
        <w:rPr>
          <w:rFonts w:ascii="仿宋" w:hAnsi="仿宋" w:cs="仿宋"/>
        </w:rPr>
        <w:t>*具体考核标准以合同约定及公司制度规定为准。</w:t>
      </w:r>
    </w:p>
    <w:p>
      <w:pPr>
        <w:ind w:firstLine="560" w:firstLineChars="20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五、费用标准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bookmarkStart w:id="0" w:name="OLE_LINK1"/>
      <w:r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  <w:t>预算费用【3</w:t>
      </w: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】万元，支付节点如下：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（一）合同签署完成后，经招标人书面通知正式启动</w:t>
      </w:r>
      <w:r>
        <w:rPr>
          <w:rFonts w:hint="eastAsia" w:cs="宋体"/>
          <w:kern w:val="2"/>
          <w:sz w:val="30"/>
          <w:szCs w:val="24"/>
          <w:lang w:val="en-US" w:eastAsia="zh-CN" w:bidi="ar-SA"/>
        </w:rPr>
        <w:t>评估</w:t>
      </w: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工作之日起30日内支付服务费的30%；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（二）</w:t>
      </w:r>
      <w:r>
        <w:rPr>
          <w:rFonts w:hint="eastAsia" w:cs="宋体"/>
          <w:kern w:val="2"/>
          <w:sz w:val="30"/>
          <w:szCs w:val="24"/>
          <w:lang w:val="en-US" w:eastAsia="zh-CN" w:bidi="ar-SA"/>
        </w:rPr>
        <w:t>评估</w:t>
      </w: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报告终稿提供之日起的30日内，支付相应服务费总额的70%。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 w:line="240" w:lineRule="atLeast"/>
        <w:ind w:left="0" w:right="0" w:firstLine="475"/>
        <w:jc w:val="left"/>
        <w:rPr>
          <w:rFonts w:ascii="Calibri" w:hAnsi="Calibri" w:eastAsia="仿宋" w:cs="宋体"/>
          <w:kern w:val="2"/>
          <w:sz w:val="30"/>
          <w:szCs w:val="24"/>
          <w:lang w:val="en-US" w:eastAsia="zh-CN" w:bidi="ar-SA"/>
        </w:rPr>
      </w:pPr>
      <w:r>
        <w:rPr>
          <w:rFonts w:hint="eastAsia" w:ascii="Calibri" w:hAnsi="Calibri" w:eastAsia="仿宋" w:cs="宋体"/>
          <w:kern w:val="2"/>
          <w:sz w:val="30"/>
          <w:szCs w:val="24"/>
          <w:lang w:val="en-US" w:eastAsia="zh-CN" w:bidi="ar-SA"/>
        </w:rPr>
        <w:t>*具体支付方式以合同约定为准。</w:t>
      </w:r>
    </w:p>
    <w:bookmarkEnd w:id="0"/>
    <w:p>
      <w:pPr>
        <w:ind w:firstLine="600" w:firstLineChars="200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5D21BB-8374-4525-A7EC-E4131C50AC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C6CFC34-4168-46EE-8913-8DE5D914F8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97596B1-7FB2-429A-902E-A554530C6350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4" w:fontKey="{9084CEB4-0151-4581-85A5-EA6CEADE8A1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56FE91D-65DE-43E5-828D-CE6CB01EF1E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xYzAzNDJiMmExNzQ3MTNkOTcyMjNlOGM0NjUxNDIifQ=="/>
  </w:docVars>
  <w:rsids>
    <w:rsidRoot w:val="68F77B8D"/>
    <w:rsid w:val="000433FE"/>
    <w:rsid w:val="000A7BC9"/>
    <w:rsid w:val="00201A15"/>
    <w:rsid w:val="003D2BA5"/>
    <w:rsid w:val="004C7BBD"/>
    <w:rsid w:val="006B0200"/>
    <w:rsid w:val="007A7B21"/>
    <w:rsid w:val="009547D0"/>
    <w:rsid w:val="00A533C1"/>
    <w:rsid w:val="00A75474"/>
    <w:rsid w:val="00BB12BC"/>
    <w:rsid w:val="00BF34C5"/>
    <w:rsid w:val="00C774DF"/>
    <w:rsid w:val="00E10F80"/>
    <w:rsid w:val="00F60FE2"/>
    <w:rsid w:val="05300B9C"/>
    <w:rsid w:val="105C516B"/>
    <w:rsid w:val="12575E5F"/>
    <w:rsid w:val="14D6311D"/>
    <w:rsid w:val="1DEB368E"/>
    <w:rsid w:val="1E2A4908"/>
    <w:rsid w:val="202D0DF7"/>
    <w:rsid w:val="21D10D71"/>
    <w:rsid w:val="254F56A5"/>
    <w:rsid w:val="359612F2"/>
    <w:rsid w:val="3760515E"/>
    <w:rsid w:val="40953582"/>
    <w:rsid w:val="4A9817BC"/>
    <w:rsid w:val="4CDC6D76"/>
    <w:rsid w:val="4FFC6C46"/>
    <w:rsid w:val="53BE13B6"/>
    <w:rsid w:val="53C96ED3"/>
    <w:rsid w:val="57606CDA"/>
    <w:rsid w:val="672E75A8"/>
    <w:rsid w:val="67F1104D"/>
    <w:rsid w:val="68F77B8D"/>
    <w:rsid w:val="6D941CEE"/>
    <w:rsid w:val="70B15E7A"/>
    <w:rsid w:val="71520633"/>
    <w:rsid w:val="76B263BB"/>
    <w:rsid w:val="7EBC3207"/>
    <w:rsid w:val="7F15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Calibri" w:hAnsi="Calibri" w:eastAsia="仿宋" w:cs="宋体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</Words>
  <Characters>941</Characters>
  <Lines>7</Lines>
  <Paragraphs>2</Paragraphs>
  <TotalTime>30</TotalTime>
  <ScaleCrop>false</ScaleCrop>
  <LinksUpToDate>false</LinksUpToDate>
  <CharactersWithSpaces>1103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2024-11-07T10:22:00Z</dcterms:created>
  <dc:creator>曾经</dc:creator>
  <cp:lastModifiedBy>殷</cp:lastModifiedBy>
  <cp:lastPrinted>2024-11-07T07:10:00Z</cp:lastPrinted>
  <dcterms:modified xsi:type="dcterms:W3CDTF">2026-09-07T09:14:34Z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EC077BB5DCAC46CF9C10D1B8ABF60B00_13</vt:lpwstr>
  </property>
</Properties>
</file>