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10DE8">
      <w:pPr>
        <w:jc w:val="center"/>
        <w:rPr>
          <w:rFonts w:hint="eastAsia" w:ascii="黑体" w:hAnsi="黑体" w:eastAsia="黑体" w:cs="黑体"/>
          <w:b/>
          <w:sz w:val="52"/>
          <w:szCs w:val="52"/>
          <w:lang w:val="en-US" w:eastAsia="zh-CN"/>
        </w:rPr>
      </w:pPr>
      <w:bookmarkStart w:id="0" w:name="_Hlk45132566"/>
      <w:bookmarkStart w:id="7" w:name="_GoBack"/>
      <w:bookmarkEnd w:id="7"/>
    </w:p>
    <w:p w14:paraId="0FF20F54">
      <w:pPr>
        <w:jc w:val="center"/>
        <w:rPr>
          <w:rFonts w:hint="eastAsia" w:ascii="黑体" w:hAnsi="黑体" w:eastAsia="黑体" w:cs="黑体"/>
          <w:b/>
          <w:sz w:val="52"/>
          <w:szCs w:val="52"/>
          <w:lang w:val="en-US" w:eastAsia="zh-CN"/>
        </w:rPr>
      </w:pPr>
    </w:p>
    <w:p w14:paraId="286A2FB0">
      <w:pPr>
        <w:jc w:val="center"/>
        <w:rPr>
          <w:rFonts w:hint="eastAsia" w:ascii="黑体" w:hAnsi="黑体" w:eastAsia="黑体" w:cs="黑体"/>
          <w:b/>
          <w:sz w:val="52"/>
          <w:szCs w:val="52"/>
          <w:lang w:val="en-US" w:eastAsia="zh-CN"/>
        </w:rPr>
      </w:pPr>
    </w:p>
    <w:p w14:paraId="25C5E13E">
      <w:pPr>
        <w:jc w:val="center"/>
        <w:rPr>
          <w:rFonts w:hint="eastAsia" w:ascii="黑体" w:hAnsi="黑体" w:eastAsia="黑体" w:cs="黑体"/>
          <w:b/>
          <w:sz w:val="52"/>
          <w:szCs w:val="52"/>
          <w:lang w:eastAsia="zh-CN"/>
        </w:rPr>
      </w:pPr>
      <w:r>
        <w:rPr>
          <w:rFonts w:hint="eastAsia" w:eastAsia="等线" w:cs="Arial"/>
          <w:b/>
          <w:sz w:val="52"/>
          <w:lang w:val="en-US" w:eastAsia="zh-CN"/>
        </w:rPr>
        <w:t>珠海正方产业开发运营有限公司</w:t>
      </w:r>
      <w:r>
        <w:rPr>
          <w:rFonts w:ascii="Arial" w:hAnsi="Arial" w:eastAsia="等线" w:cs="Arial"/>
          <w:b/>
          <w:sz w:val="52"/>
        </w:rPr>
        <w:t>无人机</w:t>
      </w:r>
      <w:r>
        <w:rPr>
          <w:rFonts w:hint="eastAsia" w:ascii="Arial" w:hAnsi="Arial" w:eastAsia="等线" w:cs="Arial"/>
          <w:b/>
          <w:sz w:val="52"/>
        </w:rPr>
        <w:t>飞控</w:t>
      </w:r>
      <w:r>
        <w:rPr>
          <w:rFonts w:ascii="Arial" w:hAnsi="Arial" w:eastAsia="等线" w:cs="Arial"/>
          <w:b/>
          <w:sz w:val="52"/>
        </w:rPr>
        <w:t>平台</w:t>
      </w:r>
      <w:r>
        <w:rPr>
          <w:rFonts w:hint="eastAsia" w:eastAsia="等线" w:cs="Arial"/>
          <w:b/>
          <w:sz w:val="52"/>
          <w:lang w:val="en-US" w:eastAsia="zh-CN"/>
        </w:rPr>
        <w:t>和</w:t>
      </w:r>
      <w:r>
        <w:rPr>
          <w:rFonts w:ascii="Arial" w:hAnsi="Arial" w:eastAsia="等线" w:cs="Arial"/>
          <w:b/>
          <w:sz w:val="52"/>
        </w:rPr>
        <w:t>业务后台</w:t>
      </w:r>
      <w:r>
        <w:rPr>
          <w:rFonts w:hint="eastAsia" w:eastAsia="等线" w:cs="Arial"/>
          <w:b/>
          <w:sz w:val="52"/>
          <w:lang w:val="en-US" w:eastAsia="zh-CN"/>
        </w:rPr>
        <w:t>开发（含硬件）</w:t>
      </w:r>
      <w:r>
        <w:rPr>
          <w:rFonts w:hint="eastAsia" w:ascii="黑体" w:hAnsi="黑体" w:eastAsia="黑体" w:cs="黑体"/>
          <w:b/>
          <w:sz w:val="52"/>
          <w:szCs w:val="52"/>
          <w:lang w:val="en-US" w:eastAsia="zh-CN"/>
        </w:rPr>
        <w:t>技术</w:t>
      </w:r>
      <w:r>
        <w:rPr>
          <w:rFonts w:hint="eastAsia" w:ascii="黑体" w:hAnsi="黑体" w:eastAsia="黑体" w:cs="黑体"/>
          <w:b/>
          <w:sz w:val="52"/>
          <w:szCs w:val="52"/>
          <w:lang w:eastAsia="zh-CN"/>
        </w:rPr>
        <w:t>任务书</w:t>
      </w:r>
      <w:bookmarkEnd w:id="0"/>
    </w:p>
    <w:p w14:paraId="1A1F5790">
      <w:pPr>
        <w:spacing w:line="240" w:lineRule="auto"/>
        <w:ind w:firstLine="1356" w:firstLineChars="300"/>
        <w:jc w:val="both"/>
        <w:rPr>
          <w:rFonts w:hint="eastAsia" w:ascii="宋体" w:hAnsi="宋体"/>
          <w:b/>
          <w:spacing w:val="86"/>
          <w:sz w:val="28"/>
          <w:szCs w:val="28"/>
          <w:lang w:eastAsia="zh-CN"/>
        </w:rPr>
      </w:pPr>
    </w:p>
    <w:p w14:paraId="53D21344">
      <w:pPr>
        <w:spacing w:line="240" w:lineRule="auto"/>
        <w:ind w:firstLine="1356" w:firstLineChars="300"/>
        <w:jc w:val="both"/>
        <w:rPr>
          <w:rFonts w:hint="eastAsia" w:ascii="宋体" w:hAnsi="宋体"/>
          <w:b/>
          <w:spacing w:val="86"/>
          <w:sz w:val="28"/>
          <w:szCs w:val="28"/>
          <w:lang w:eastAsia="zh-CN"/>
        </w:rPr>
      </w:pPr>
    </w:p>
    <w:p w14:paraId="7995A535">
      <w:pPr>
        <w:spacing w:line="240" w:lineRule="auto"/>
        <w:jc w:val="both"/>
        <w:rPr>
          <w:rFonts w:hint="eastAsia" w:ascii="宋体" w:hAnsi="宋体"/>
          <w:b/>
          <w:spacing w:val="86"/>
          <w:sz w:val="28"/>
          <w:szCs w:val="28"/>
          <w:lang w:eastAsia="zh-CN"/>
        </w:rPr>
      </w:pPr>
    </w:p>
    <w:p w14:paraId="560E0892">
      <w:pPr>
        <w:spacing w:line="240" w:lineRule="auto"/>
        <w:ind w:firstLine="1356" w:firstLineChars="300"/>
        <w:jc w:val="both"/>
        <w:rPr>
          <w:rFonts w:hint="eastAsia" w:ascii="宋体" w:hAnsi="宋体"/>
          <w:b/>
          <w:spacing w:val="86"/>
          <w:sz w:val="28"/>
          <w:szCs w:val="28"/>
          <w:lang w:eastAsia="zh-CN"/>
        </w:rPr>
      </w:pPr>
    </w:p>
    <w:p w14:paraId="756E716F">
      <w:pPr>
        <w:pStyle w:val="2"/>
        <w:numPr>
          <w:ilvl w:val="0"/>
          <w:numId w:val="0"/>
        </w:numPr>
        <w:ind w:leftChars="0"/>
        <w:rPr>
          <w:rFonts w:hint="eastAsia"/>
          <w:lang w:eastAsia="zh-CN"/>
        </w:rPr>
      </w:pPr>
    </w:p>
    <w:p w14:paraId="60569B67">
      <w:pPr>
        <w:rPr>
          <w:rFonts w:hint="eastAsia"/>
          <w:lang w:eastAsia="zh-CN"/>
        </w:rPr>
      </w:pPr>
    </w:p>
    <w:p w14:paraId="7CAB5938">
      <w:pPr>
        <w:spacing w:line="240" w:lineRule="auto"/>
        <w:ind w:firstLine="1356" w:firstLineChars="300"/>
        <w:jc w:val="both"/>
        <w:rPr>
          <w:rFonts w:hint="default" w:ascii="宋体" w:hAnsi="宋体" w:eastAsia="宋体"/>
          <w:b/>
          <w:spacing w:val="86"/>
          <w:sz w:val="28"/>
          <w:szCs w:val="28"/>
          <w:lang w:val="en-US" w:eastAsia="zh-CN"/>
        </w:rPr>
      </w:pPr>
      <w:r>
        <w:rPr>
          <w:rFonts w:hint="eastAsia" w:ascii="宋体" w:hAnsi="宋体"/>
          <w:b/>
          <w:spacing w:val="86"/>
          <w:sz w:val="28"/>
          <w:szCs w:val="28"/>
          <w:lang w:eastAsia="zh-CN"/>
        </w:rPr>
        <w:t>编制</w:t>
      </w:r>
      <w:r>
        <w:rPr>
          <w:rFonts w:hint="eastAsia" w:ascii="宋体" w:hAnsi="宋体"/>
          <w:b/>
          <w:spacing w:val="86"/>
          <w:sz w:val="28"/>
          <w:szCs w:val="28"/>
          <w:lang w:val="en-US" w:eastAsia="zh-CN"/>
        </w:rPr>
        <w:t xml:space="preserve"> :</w:t>
      </w:r>
      <w:r>
        <w:rPr>
          <w:rFonts w:hint="eastAsia" w:ascii="宋体" w:hAnsi="宋体"/>
          <w:b/>
          <w:spacing w:val="86"/>
          <w:sz w:val="28"/>
          <w:szCs w:val="28"/>
          <w:u w:val="single"/>
          <w:lang w:val="en-US" w:eastAsia="zh-CN"/>
        </w:rPr>
        <w:t xml:space="preserve">　              </w:t>
      </w:r>
    </w:p>
    <w:p w14:paraId="43BA8DFA">
      <w:pPr>
        <w:spacing w:line="240" w:lineRule="auto"/>
        <w:ind w:firstLine="687" w:firstLineChars="152"/>
        <w:jc w:val="center"/>
        <w:rPr>
          <w:rFonts w:hint="eastAsia" w:ascii="宋体" w:hAnsi="宋体"/>
          <w:b/>
          <w:spacing w:val="86"/>
          <w:sz w:val="28"/>
          <w:szCs w:val="28"/>
          <w:lang w:val="en-US" w:eastAsia="zh-CN"/>
        </w:rPr>
      </w:pPr>
    </w:p>
    <w:p w14:paraId="0E1FBCD4">
      <w:pPr>
        <w:spacing w:line="240" w:lineRule="auto"/>
        <w:ind w:firstLine="1356" w:firstLineChars="300"/>
        <w:jc w:val="both"/>
        <w:rPr>
          <w:rFonts w:hint="eastAsia" w:ascii="宋体" w:hAnsi="宋体"/>
          <w:b/>
          <w:spacing w:val="86"/>
          <w:sz w:val="28"/>
          <w:szCs w:val="28"/>
          <w:lang w:eastAsia="zh-CN"/>
        </w:rPr>
      </w:pPr>
    </w:p>
    <w:p w14:paraId="5134C1FD">
      <w:pPr>
        <w:spacing w:line="240" w:lineRule="auto"/>
        <w:ind w:firstLine="1356" w:firstLineChars="300"/>
        <w:jc w:val="both"/>
        <w:rPr>
          <w:rFonts w:hint="eastAsia" w:ascii="宋体" w:hAnsi="宋体"/>
          <w:b/>
          <w:spacing w:val="86"/>
          <w:sz w:val="28"/>
          <w:szCs w:val="28"/>
          <w:lang w:val="en-US" w:eastAsia="zh-CN"/>
        </w:rPr>
      </w:pPr>
      <w:r>
        <w:rPr>
          <w:rFonts w:hint="eastAsia" w:ascii="宋体" w:hAnsi="宋体"/>
          <w:b/>
          <w:spacing w:val="86"/>
          <w:sz w:val="28"/>
          <w:szCs w:val="28"/>
          <w:lang w:eastAsia="zh-CN"/>
        </w:rPr>
        <w:t>审核</w:t>
      </w:r>
      <w:r>
        <w:rPr>
          <w:rFonts w:hint="eastAsia" w:ascii="宋体" w:hAnsi="宋体"/>
          <w:b/>
          <w:spacing w:val="86"/>
          <w:sz w:val="28"/>
          <w:szCs w:val="28"/>
          <w:lang w:val="en-US" w:eastAsia="zh-CN"/>
        </w:rPr>
        <w:t xml:space="preserve"> :</w:t>
      </w:r>
      <w:r>
        <w:rPr>
          <w:rFonts w:hint="eastAsia" w:ascii="宋体" w:hAnsi="宋体"/>
          <w:b/>
          <w:spacing w:val="86"/>
          <w:sz w:val="28"/>
          <w:szCs w:val="28"/>
          <w:u w:val="single"/>
          <w:lang w:val="en-US" w:eastAsia="zh-CN"/>
        </w:rPr>
        <w:t xml:space="preserve">　              </w:t>
      </w:r>
      <w:r>
        <w:rPr>
          <w:rFonts w:hint="eastAsia" w:ascii="宋体" w:hAnsi="宋体"/>
          <w:b/>
          <w:spacing w:val="86"/>
          <w:sz w:val="28"/>
          <w:szCs w:val="28"/>
          <w:lang w:val="en-US" w:eastAsia="zh-CN"/>
        </w:rPr>
        <w:t xml:space="preserve"> </w:t>
      </w:r>
    </w:p>
    <w:p w14:paraId="43B80E45">
      <w:pPr>
        <w:spacing w:line="240" w:lineRule="auto"/>
        <w:ind w:left="1359" w:hanging="1356" w:hangingChars="300"/>
        <w:jc w:val="both"/>
        <w:rPr>
          <w:rFonts w:hint="eastAsia" w:ascii="宋体" w:hAnsi="宋体"/>
          <w:b/>
          <w:spacing w:val="86"/>
          <w:sz w:val="28"/>
          <w:szCs w:val="28"/>
          <w:lang w:eastAsia="zh-CN"/>
        </w:rPr>
      </w:pPr>
    </w:p>
    <w:p w14:paraId="57BB9B7E">
      <w:pPr>
        <w:pStyle w:val="6"/>
        <w:rPr>
          <w:rFonts w:hint="eastAsia"/>
          <w:lang w:val="en-US" w:eastAsia="zh-CN"/>
        </w:rPr>
      </w:pPr>
    </w:p>
    <w:p w14:paraId="692C286D">
      <w:pPr>
        <w:spacing w:line="880" w:lineRule="exact"/>
        <w:jc w:val="center"/>
        <w:rPr>
          <w:rFonts w:hint="eastAsia" w:ascii="黑体" w:eastAsia="黑体"/>
          <w:snapToGrid w:val="0"/>
          <w:w w:val="80"/>
          <w:kern w:val="18"/>
          <w:sz w:val="32"/>
          <w:szCs w:val="32"/>
        </w:rPr>
      </w:pPr>
    </w:p>
    <w:p w14:paraId="06289698">
      <w:pPr>
        <w:pStyle w:val="2"/>
        <w:numPr>
          <w:ilvl w:val="0"/>
          <w:numId w:val="0"/>
        </w:numPr>
        <w:ind w:leftChars="0"/>
        <w:rPr>
          <w:rFonts w:hint="eastAsia"/>
        </w:rPr>
      </w:pPr>
    </w:p>
    <w:p w14:paraId="12D651F7">
      <w:pPr>
        <w:rPr>
          <w:rFonts w:hint="eastAsia"/>
        </w:rPr>
      </w:pPr>
    </w:p>
    <w:p w14:paraId="7E311597">
      <w:pPr>
        <w:spacing w:line="880" w:lineRule="exact"/>
        <w:jc w:val="center"/>
        <w:rPr>
          <w:rFonts w:hint="eastAsia" w:ascii="黑体" w:eastAsia="黑体"/>
          <w:snapToGrid w:val="0"/>
          <w:w w:val="80"/>
          <w:kern w:val="18"/>
          <w:sz w:val="32"/>
          <w:szCs w:val="32"/>
        </w:rPr>
      </w:pPr>
    </w:p>
    <w:p w14:paraId="42551B68">
      <w:pPr>
        <w:spacing w:line="880" w:lineRule="exact"/>
        <w:jc w:val="center"/>
        <w:rPr>
          <w:rFonts w:hint="default" w:ascii="黑体" w:hAnsi="黑体" w:eastAsia="黑体" w:cs="黑体"/>
          <w:b w:val="0"/>
          <w:bCs w:val="0"/>
          <w:snapToGrid w:val="0"/>
          <w:color w:val="000000"/>
          <w:kern w:val="0"/>
          <w:sz w:val="28"/>
          <w:szCs w:val="28"/>
          <w:lang w:val="en-US" w:eastAsia="en-US" w:bidi="ar-SA"/>
        </w:rPr>
        <w:sectPr>
          <w:headerReference r:id="rId5" w:type="default"/>
          <w:footerReference r:id="rId6" w:type="default"/>
          <w:pgSz w:w="11906" w:h="16838"/>
          <w:pgMar w:top="1304" w:right="1418" w:bottom="1304" w:left="1417" w:header="851" w:footer="992" w:gutter="0"/>
          <w:pgNumType w:start="1"/>
          <w:cols w:space="720" w:num="1"/>
          <w:docGrid w:type="lines" w:linePitch="312" w:charSpace="0"/>
        </w:sectPr>
      </w:pPr>
      <w:r>
        <w:rPr>
          <w:rFonts w:hint="eastAsia" w:ascii="黑体" w:hAnsi="黑体" w:eastAsia="黑体" w:cs="黑体"/>
          <w:b w:val="0"/>
          <w:bCs w:val="0"/>
          <w:snapToGrid w:val="0"/>
          <w:color w:val="000000"/>
          <w:kern w:val="0"/>
          <w:sz w:val="28"/>
          <w:szCs w:val="28"/>
          <w:lang w:val="en-US" w:eastAsia="zh-CN" w:bidi="ar-SA"/>
        </w:rPr>
        <w:t>2026</w:t>
      </w:r>
      <w:r>
        <w:rPr>
          <w:rFonts w:hint="eastAsia" w:ascii="黑体" w:hAnsi="黑体" w:eastAsia="黑体" w:cs="黑体"/>
          <w:b w:val="0"/>
          <w:bCs w:val="0"/>
          <w:snapToGrid w:val="0"/>
          <w:color w:val="000000"/>
          <w:kern w:val="0"/>
          <w:sz w:val="28"/>
          <w:szCs w:val="28"/>
          <w:lang w:val="en-US" w:eastAsia="en-US" w:bidi="ar-SA"/>
        </w:rPr>
        <w:t>年</w:t>
      </w:r>
      <w:r>
        <w:rPr>
          <w:rFonts w:hint="eastAsia" w:ascii="黑体" w:hAnsi="黑体" w:eastAsia="黑体" w:cs="黑体"/>
          <w:b w:val="0"/>
          <w:bCs w:val="0"/>
          <w:snapToGrid w:val="0"/>
          <w:color w:val="000000"/>
          <w:kern w:val="0"/>
          <w:sz w:val="28"/>
          <w:szCs w:val="28"/>
          <w:lang w:val="en-US" w:eastAsia="zh-CN" w:bidi="ar-SA"/>
        </w:rPr>
        <w:t xml:space="preserve">     </w:t>
      </w:r>
      <w:r>
        <w:rPr>
          <w:rFonts w:hint="eastAsia" w:ascii="黑体" w:hAnsi="黑体" w:eastAsia="黑体" w:cs="黑体"/>
          <w:b w:val="0"/>
          <w:bCs w:val="0"/>
          <w:snapToGrid w:val="0"/>
          <w:color w:val="000000"/>
          <w:kern w:val="0"/>
          <w:sz w:val="28"/>
          <w:szCs w:val="28"/>
          <w:lang w:val="en-US" w:eastAsia="en-US" w:bidi="ar-SA"/>
        </w:rPr>
        <w:t>月</w:t>
      </w:r>
      <w:r>
        <w:rPr>
          <w:rFonts w:hint="eastAsia" w:ascii="黑体" w:hAnsi="黑体" w:eastAsia="黑体" w:cs="黑体"/>
          <w:b w:val="0"/>
          <w:bCs w:val="0"/>
          <w:snapToGrid w:val="0"/>
          <w:color w:val="000000"/>
          <w:kern w:val="0"/>
          <w:sz w:val="28"/>
          <w:szCs w:val="28"/>
          <w:lang w:val="en-US" w:eastAsia="zh-CN" w:bidi="ar-SA"/>
        </w:rPr>
        <w:t xml:space="preserve">   </w:t>
      </w:r>
      <w:bookmarkStart w:id="1" w:name="_Toc107"/>
      <w:bookmarkStart w:id="2" w:name="_Toc6574"/>
      <w:bookmarkStart w:id="3" w:name="_Toc31196"/>
      <w:bookmarkStart w:id="4" w:name="_Toc24227"/>
      <w:r>
        <w:rPr>
          <w:rFonts w:hint="eastAsia" w:ascii="黑体" w:hAnsi="黑体" w:eastAsia="黑体" w:cs="黑体"/>
          <w:b w:val="0"/>
          <w:bCs w:val="0"/>
          <w:snapToGrid w:val="0"/>
          <w:color w:val="000000"/>
          <w:kern w:val="0"/>
          <w:sz w:val="28"/>
          <w:szCs w:val="28"/>
          <w:lang w:val="en-US" w:eastAsia="zh-CN" w:bidi="ar-SA"/>
        </w:rPr>
        <w:t xml:space="preserve">  日</w:t>
      </w:r>
    </w:p>
    <w:bookmarkEnd w:id="1"/>
    <w:bookmarkEnd w:id="2"/>
    <w:bookmarkEnd w:id="3"/>
    <w:bookmarkEnd w:id="4"/>
    <w:p w14:paraId="6B099815">
      <w:pPr>
        <w:pStyle w:val="4"/>
        <w:keepNext w:val="0"/>
        <w:keepLines w:val="0"/>
        <w:widowControl/>
        <w:suppressLineNumbers w:val="0"/>
        <w:shd w:val="clear" w:fill="FFFFFF"/>
        <w:spacing w:before="480" w:beforeAutospacing="0" w:after="240" w:afterAutospacing="0" w:line="450" w:lineRule="atLeast"/>
        <w:ind w:right="0" w:firstLine="602" w:firstLineChars="200"/>
        <w:rPr>
          <w:rFonts w:hint="eastAsia" w:ascii="仿宋" w:hAnsi="仿宋" w:eastAsia="仿宋" w:cs="仿宋"/>
          <w:b/>
          <w:bCs/>
          <w:spacing w:val="0"/>
          <w:sz w:val="30"/>
          <w:szCs w:val="30"/>
          <w:lang w:val="en-US" w:eastAsia="en-US"/>
        </w:rPr>
      </w:pPr>
      <w:r>
        <w:rPr>
          <w:rFonts w:hint="default" w:ascii="仿宋" w:hAnsi="仿宋" w:eastAsia="仿宋" w:cs="仿宋"/>
          <w:b/>
          <w:bCs/>
          <w:snapToGrid w:val="0"/>
          <w:color w:val="000000"/>
          <w:spacing w:val="0"/>
          <w:kern w:val="0"/>
          <w:sz w:val="30"/>
          <w:szCs w:val="30"/>
          <w:lang w:val="en-US" w:eastAsia="zh-CN" w:bidi="ar-SA"/>
        </w:rPr>
        <w:t>一、项目背景与战略意义</w:t>
      </w:r>
    </w:p>
    <w:p w14:paraId="1730ABE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lang w:eastAsia="zh-CN"/>
        </w:rPr>
      </w:pPr>
      <w:r>
        <w:rPr>
          <w:rFonts w:hint="default" w:ascii="仿宋" w:hAnsi="仿宋" w:eastAsia="仿宋" w:cs="仿宋"/>
          <w:color w:val="000000"/>
          <w:spacing w:val="22"/>
          <w:sz w:val="30"/>
          <w:szCs w:val="30"/>
          <w:lang w:eastAsia="zh-CN"/>
        </w:rPr>
        <w:t>1.1 时代机遇：低空经济上升为国家战略，无人机巡检迈入体系化发展新阶段</w:t>
      </w:r>
      <w:r>
        <w:rPr>
          <w:rFonts w:hint="eastAsia" w:ascii="仿宋" w:hAnsi="仿宋" w:eastAsia="仿宋" w:cs="仿宋"/>
          <w:color w:val="000000"/>
          <w:spacing w:val="22"/>
          <w:sz w:val="30"/>
          <w:szCs w:val="30"/>
          <w:lang w:eastAsia="zh-CN"/>
        </w:rPr>
        <w:t>。</w:t>
      </w:r>
    </w:p>
    <w:p w14:paraId="03B5C9A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88" w:firstLineChars="200"/>
        <w:jc w:val="left"/>
        <w:rPr>
          <w:rFonts w:hint="eastAsia" w:ascii="仿宋" w:hAnsi="仿宋" w:eastAsia="仿宋" w:cs="仿宋"/>
          <w:color w:val="000000"/>
          <w:spacing w:val="22"/>
          <w:sz w:val="30"/>
          <w:szCs w:val="30"/>
          <w:lang w:eastAsia="zh-CN"/>
        </w:rPr>
      </w:pPr>
      <w:r>
        <w:rPr>
          <w:rFonts w:hint="default" w:ascii="仿宋" w:hAnsi="仿宋" w:eastAsia="仿宋" w:cs="仿宋"/>
          <w:color w:val="000000"/>
          <w:spacing w:val="22"/>
          <w:sz w:val="30"/>
          <w:szCs w:val="30"/>
          <w:lang w:eastAsia="zh-CN"/>
        </w:rPr>
        <w:t>当前，低空经济已正式被确立为国家战略性新兴产业，成为培育新质生产力、推动经济高质量发展的新引擎。国家“十四五”规划及各部委相继出台促进通用航空、无人驾驶航空器发展的专项政策，明确提出要构建“场景丰富、体系完整、安全高效”的低空智能服务网络。无人机技术正从单点设备应用，全面转向平台化、网络化、智能化深度融合作战，智慧巡检作为工业无人机最成熟的规模化应用场景，迎来了从“人巡”到“智巡”、从“烟囱式”到“一体化”跨越式发展的关键窗口期。</w:t>
      </w:r>
    </w:p>
    <w:p w14:paraId="3FECE88E">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default" w:ascii="仿宋" w:hAnsi="仿宋" w:eastAsia="仿宋" w:cs="仿宋"/>
          <w:color w:val="000000"/>
          <w:spacing w:val="22"/>
          <w:sz w:val="30"/>
          <w:szCs w:val="30"/>
          <w:lang w:val="en-US" w:eastAsia="zh-CN"/>
        </w:rPr>
      </w:pPr>
      <w:r>
        <w:rPr>
          <w:rFonts w:hint="default" w:ascii="仿宋" w:hAnsi="仿宋" w:eastAsia="仿宋" w:cs="仿宋"/>
          <w:color w:val="000000"/>
          <w:spacing w:val="22"/>
          <w:sz w:val="30"/>
          <w:szCs w:val="30"/>
          <w:lang w:eastAsia="zh-CN"/>
        </w:rPr>
        <w:t>1.2 业务驱动：</w:t>
      </w:r>
      <w:r>
        <w:rPr>
          <w:rFonts w:hint="eastAsia" w:ascii="仿宋" w:hAnsi="仿宋" w:eastAsia="仿宋" w:cs="仿宋"/>
          <w:color w:val="000000"/>
          <w:spacing w:val="22"/>
          <w:sz w:val="30"/>
          <w:szCs w:val="30"/>
          <w:lang w:val="en-US" w:eastAsia="zh-CN"/>
        </w:rPr>
        <w:t>珠海正方产业开发运营有限公司（以下简称“正方产开运”）亟须</w:t>
      </w:r>
      <w:r>
        <w:rPr>
          <w:rFonts w:hint="default" w:ascii="仿宋" w:hAnsi="仿宋" w:eastAsia="仿宋" w:cs="仿宋"/>
          <w:color w:val="000000"/>
          <w:spacing w:val="22"/>
          <w:sz w:val="30"/>
          <w:szCs w:val="30"/>
          <w:lang w:eastAsia="zh-CN"/>
        </w:rPr>
        <w:t>以数字化巡检支撑</w:t>
      </w:r>
      <w:r>
        <w:rPr>
          <w:rFonts w:hint="eastAsia" w:ascii="仿宋" w:hAnsi="仿宋" w:eastAsia="仿宋" w:cs="仿宋"/>
          <w:color w:val="000000"/>
          <w:spacing w:val="22"/>
          <w:sz w:val="30"/>
          <w:szCs w:val="30"/>
          <w:lang w:val="en-US" w:eastAsia="zh-CN"/>
        </w:rPr>
        <w:t>自身及集团</w:t>
      </w:r>
      <w:r>
        <w:rPr>
          <w:rFonts w:hint="default" w:ascii="仿宋" w:hAnsi="仿宋" w:eastAsia="仿宋" w:cs="仿宋"/>
          <w:color w:val="000000"/>
          <w:spacing w:val="22"/>
          <w:sz w:val="30"/>
          <w:szCs w:val="30"/>
          <w:lang w:eastAsia="zh-CN"/>
        </w:rPr>
        <w:t>全域资产精益化管理</w:t>
      </w:r>
      <w:r>
        <w:rPr>
          <w:rFonts w:hint="eastAsia" w:ascii="仿宋" w:hAnsi="仿宋" w:eastAsia="仿宋" w:cs="仿宋"/>
          <w:color w:val="000000"/>
          <w:spacing w:val="22"/>
          <w:sz w:val="30"/>
          <w:szCs w:val="30"/>
          <w:lang w:eastAsia="zh-CN"/>
        </w:rPr>
        <w:t>，</w:t>
      </w:r>
      <w:r>
        <w:rPr>
          <w:rFonts w:hint="eastAsia" w:ascii="仿宋" w:hAnsi="仿宋" w:eastAsia="仿宋" w:cs="仿宋"/>
          <w:color w:val="000000"/>
          <w:spacing w:val="22"/>
          <w:sz w:val="30"/>
          <w:szCs w:val="30"/>
          <w:lang w:val="en-US" w:eastAsia="zh-CN"/>
        </w:rPr>
        <w:t>并借此拓展业务范围，承接外部业务，以科技服务自身，以能力辐射区域。</w:t>
      </w:r>
    </w:p>
    <w:p w14:paraId="2B7FDD6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88" w:firstLineChars="200"/>
        <w:jc w:val="left"/>
        <w:rPr>
          <w:rFonts w:hint="default" w:ascii="仿宋" w:hAnsi="仿宋" w:eastAsia="仿宋" w:cs="仿宋"/>
          <w:color w:val="000000"/>
          <w:spacing w:val="22"/>
          <w:sz w:val="30"/>
          <w:szCs w:val="30"/>
          <w:lang w:eastAsia="zh-CN"/>
        </w:rPr>
      </w:pPr>
      <w:r>
        <w:rPr>
          <w:rFonts w:hint="eastAsia" w:ascii="仿宋" w:hAnsi="仿宋" w:eastAsia="仿宋" w:cs="仿宋"/>
          <w:color w:val="000000"/>
          <w:spacing w:val="22"/>
          <w:sz w:val="30"/>
          <w:szCs w:val="30"/>
          <w:lang w:val="en-US" w:eastAsia="zh-CN"/>
        </w:rPr>
        <w:t>珠海正方集团有限公司（以下简称“正方集团”）</w:t>
      </w:r>
      <w:r>
        <w:rPr>
          <w:rFonts w:hint="default" w:ascii="仿宋" w:hAnsi="仿宋" w:eastAsia="仿宋" w:cs="仿宋"/>
          <w:color w:val="000000"/>
          <w:spacing w:val="22"/>
          <w:sz w:val="30"/>
          <w:szCs w:val="30"/>
          <w:lang w:eastAsia="zh-CN"/>
        </w:rPr>
        <w:t>作为承担区域产业开发、园区运营及基础设施管护的核心主体，管辖范围覆盖广、资产类型多、安全要求高。传统人工巡检模式存在“效率瓶颈难突破、覆盖盲区难消除、风险预警难前置、数据价值难释放”四大结构性痛点。面对省/市/区县/乡镇多层级、多业态的复杂管理纵深，构建一套贯通“空天地”的无人机智慧巡检体系，不仅是解决当下人力缺口、提升巡检频次与质量的现实需要，更是推动公司资产管理从被动响应向主动预防、从经验驱动向数据驱动战略转型的必然选择。</w:t>
      </w:r>
    </w:p>
    <w:p w14:paraId="2E36FF52">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default" w:ascii="仿宋" w:hAnsi="仿宋" w:eastAsia="仿宋" w:cs="仿宋"/>
          <w:color w:val="000000"/>
          <w:spacing w:val="22"/>
          <w:sz w:val="30"/>
          <w:szCs w:val="30"/>
          <w:lang w:eastAsia="zh-CN"/>
        </w:rPr>
      </w:pPr>
      <w:r>
        <w:rPr>
          <w:rFonts w:hint="default" w:ascii="仿宋" w:hAnsi="仿宋" w:eastAsia="仿宋" w:cs="仿宋"/>
          <w:color w:val="000000"/>
          <w:spacing w:val="22"/>
          <w:sz w:val="30"/>
          <w:szCs w:val="30"/>
          <w:lang w:eastAsia="zh-CN"/>
        </w:rPr>
        <w:t>1.3 核心定位：锻造“一底座、一后台、全闭环”的无人机巡检中枢神经</w:t>
      </w:r>
      <w:r>
        <w:rPr>
          <w:rFonts w:hint="eastAsia" w:ascii="仿宋" w:hAnsi="仿宋" w:eastAsia="仿宋" w:cs="仿宋"/>
          <w:color w:val="000000"/>
          <w:spacing w:val="22"/>
          <w:sz w:val="30"/>
          <w:szCs w:val="30"/>
          <w:lang w:eastAsia="zh-CN"/>
        </w:rPr>
        <w:t>。</w:t>
      </w:r>
    </w:p>
    <w:p w14:paraId="5BA4492C">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88" w:firstLineChars="200"/>
        <w:jc w:val="left"/>
        <w:rPr>
          <w:rFonts w:hint="default" w:ascii="仿宋" w:hAnsi="仿宋" w:eastAsia="仿宋" w:cs="仿宋"/>
          <w:color w:val="000000"/>
          <w:spacing w:val="22"/>
          <w:sz w:val="30"/>
          <w:szCs w:val="30"/>
          <w:lang w:eastAsia="zh-CN"/>
        </w:rPr>
      </w:pPr>
      <w:r>
        <w:rPr>
          <w:rFonts w:hint="default" w:ascii="仿宋" w:hAnsi="仿宋" w:eastAsia="仿宋" w:cs="仿宋"/>
          <w:color w:val="000000"/>
          <w:spacing w:val="22"/>
          <w:sz w:val="30"/>
          <w:szCs w:val="30"/>
          <w:lang w:eastAsia="zh-CN"/>
        </w:rPr>
        <w:t>本次招标项目，旨在彻底改变公司当前无人机能力缺失的现状，通过引入外部顶尖技术力量，为公司量身打造具备自主知识产权的智慧巡检核心平台。我们的建设定位明确且坚定：以飞控平台为底层核心底座，搭建无人机日常巡检专属业务管理后台。我们将系统性打通「巡检计划编制→任务下发执行→现场实时监控→巡检数据回传识别→问题台账处置→成果归档复盘→统计考核」全闭环业务流程，根治巡检业务碎片化、数据孤岛化的顽疾。</w:t>
      </w:r>
    </w:p>
    <w:p w14:paraId="7E585640">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88" w:firstLineChars="200"/>
        <w:jc w:val="left"/>
        <w:rPr>
          <w:rFonts w:hint="default" w:ascii="仿宋" w:hAnsi="仿宋" w:eastAsia="仿宋" w:cs="仿宋"/>
          <w:color w:val="000000"/>
          <w:spacing w:val="22"/>
          <w:sz w:val="30"/>
          <w:szCs w:val="30"/>
          <w:lang w:val="en-US" w:eastAsia="zh-CN"/>
        </w:rPr>
      </w:pPr>
      <w:r>
        <w:rPr>
          <w:rFonts w:hint="default" w:ascii="仿宋" w:hAnsi="仿宋" w:eastAsia="仿宋" w:cs="仿宋"/>
          <w:color w:val="000000"/>
          <w:spacing w:val="22"/>
          <w:sz w:val="30"/>
          <w:szCs w:val="30"/>
          <w:lang w:eastAsia="zh-CN"/>
        </w:rPr>
        <w:t>该平台</w:t>
      </w:r>
      <w:r>
        <w:rPr>
          <w:rFonts w:hint="eastAsia" w:ascii="仿宋" w:hAnsi="仿宋" w:eastAsia="仿宋" w:cs="仿宋"/>
          <w:color w:val="000000"/>
          <w:spacing w:val="22"/>
          <w:sz w:val="30"/>
          <w:szCs w:val="30"/>
          <w:lang w:val="en-US" w:eastAsia="zh-CN"/>
        </w:rPr>
        <w:t>必须杜绝</w:t>
      </w:r>
      <w:r>
        <w:rPr>
          <w:rFonts w:hint="default" w:ascii="仿宋" w:hAnsi="仿宋" w:eastAsia="仿宋" w:cs="仿宋"/>
          <w:color w:val="000000"/>
          <w:spacing w:val="22"/>
          <w:sz w:val="30"/>
          <w:szCs w:val="30"/>
          <w:lang w:eastAsia="zh-CN"/>
        </w:rPr>
        <w:t>简单的工具叠加，而是深度融合“GIS一张图、视频融合、设备管控、AI识别、空地协同”五大能力的业务中枢神经。它将真正实现巡检业务线上化、流程标准化、数据一体化、调度可视化，确保每一个巡检工单有迹可循、每一处隐患识别有理有据、每一次空地联动有令可达。同时，系统内置适配超级管理员、业务管理员、巡检负责人、飞手、督查人员的精细化权限矩阵，原生支持省/市/区县/乡镇多层级穿透式管理架构，为</w:t>
      </w:r>
      <w:r>
        <w:rPr>
          <w:rFonts w:hint="eastAsia" w:ascii="仿宋" w:hAnsi="仿宋" w:eastAsia="仿宋" w:cs="仿宋"/>
          <w:color w:val="000000"/>
          <w:spacing w:val="22"/>
          <w:sz w:val="30"/>
          <w:szCs w:val="30"/>
          <w:lang w:eastAsia="zh-CN"/>
        </w:rPr>
        <w:t>正方产开运</w:t>
      </w:r>
      <w:r>
        <w:rPr>
          <w:rFonts w:hint="default" w:ascii="仿宋" w:hAnsi="仿宋" w:eastAsia="仿宋" w:cs="仿宋"/>
          <w:color w:val="000000"/>
          <w:spacing w:val="22"/>
          <w:sz w:val="30"/>
          <w:szCs w:val="30"/>
          <w:lang w:eastAsia="zh-CN"/>
        </w:rPr>
        <w:t>打造一套既贴合当下刚性需求，又具备面向未来拓展弹性的通用型常态化无人机巡检管理体系。</w:t>
      </w:r>
    </w:p>
    <w:p w14:paraId="564002B4">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default" w:ascii="仿宋" w:hAnsi="仿宋" w:eastAsia="仿宋" w:cs="仿宋"/>
          <w:color w:val="000000"/>
          <w:spacing w:val="22"/>
          <w:sz w:val="30"/>
          <w:szCs w:val="30"/>
          <w:lang w:eastAsia="zh-CN"/>
        </w:rPr>
      </w:pPr>
      <w:r>
        <w:rPr>
          <w:rFonts w:hint="default" w:ascii="仿宋" w:hAnsi="仿宋" w:eastAsia="仿宋" w:cs="仿宋"/>
          <w:color w:val="000000"/>
          <w:spacing w:val="22"/>
          <w:sz w:val="30"/>
          <w:szCs w:val="30"/>
          <w:lang w:eastAsia="zh-CN"/>
        </w:rPr>
        <w:t>1.4 招标建设内容与战略期望</w:t>
      </w:r>
    </w:p>
    <w:p w14:paraId="1F7050FF">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88" w:firstLineChars="200"/>
        <w:jc w:val="left"/>
        <w:rPr>
          <w:rFonts w:hint="default" w:ascii="仿宋" w:hAnsi="仿宋" w:eastAsia="仿宋" w:cs="仿宋"/>
          <w:color w:val="000000"/>
          <w:spacing w:val="22"/>
          <w:sz w:val="30"/>
          <w:szCs w:val="30"/>
          <w:lang w:eastAsia="zh-CN"/>
        </w:rPr>
      </w:pPr>
      <w:r>
        <w:rPr>
          <w:rFonts w:hint="default" w:ascii="仿宋" w:hAnsi="仿宋" w:eastAsia="仿宋" w:cs="仿宋"/>
          <w:color w:val="000000"/>
          <w:spacing w:val="22"/>
          <w:sz w:val="30"/>
          <w:szCs w:val="30"/>
          <w:lang w:eastAsia="zh-CN"/>
        </w:rPr>
        <w:t>基于上述战略愿景，本次招标内容聚焦为：“</w:t>
      </w:r>
      <w:r>
        <w:rPr>
          <w:rFonts w:hint="eastAsia" w:ascii="仿宋" w:hAnsi="仿宋" w:eastAsia="仿宋" w:cs="仿宋"/>
          <w:color w:val="000000"/>
          <w:spacing w:val="22"/>
          <w:sz w:val="30"/>
          <w:szCs w:val="30"/>
          <w:lang w:eastAsia="zh-CN"/>
        </w:rPr>
        <w:t>正方产开运</w:t>
      </w:r>
      <w:r>
        <w:rPr>
          <w:rFonts w:hint="default" w:ascii="仿宋" w:hAnsi="仿宋" w:eastAsia="仿宋" w:cs="仿宋"/>
          <w:color w:val="000000"/>
          <w:spacing w:val="22"/>
          <w:sz w:val="30"/>
          <w:szCs w:val="30"/>
          <w:lang w:eastAsia="zh-CN"/>
        </w:rPr>
        <w:t xml:space="preserve">无人机飞控平台 &amp; 业务后台 &amp; </w:t>
      </w:r>
      <w:r>
        <w:rPr>
          <w:rFonts w:hint="eastAsia" w:ascii="仿宋" w:hAnsi="仿宋" w:eastAsia="仿宋" w:cs="仿宋"/>
          <w:color w:val="000000"/>
          <w:spacing w:val="22"/>
          <w:sz w:val="30"/>
          <w:szCs w:val="30"/>
          <w:lang w:eastAsia="zh-CN"/>
        </w:rPr>
        <w:t>自动机库</w:t>
      </w:r>
      <w:r>
        <w:rPr>
          <w:rFonts w:hint="default" w:ascii="仿宋" w:hAnsi="仿宋" w:eastAsia="仿宋" w:cs="仿宋"/>
          <w:color w:val="000000"/>
          <w:spacing w:val="22"/>
          <w:sz w:val="30"/>
          <w:szCs w:val="30"/>
          <w:lang w:eastAsia="zh-CN"/>
        </w:rPr>
        <w:t>”一体化交钥匙工程。我们要求投标方提供的绝非零散的产品组合，而是一套经过深度业务适配、高度集成、可长效稳定运行的整体解决方案。</w:t>
      </w:r>
    </w:p>
    <w:p w14:paraId="63BEDC97">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88" w:firstLineChars="200"/>
        <w:jc w:val="left"/>
        <w:rPr>
          <w:rFonts w:hint="default" w:ascii="仿宋" w:hAnsi="仿宋" w:eastAsia="仿宋" w:cs="仿宋"/>
          <w:color w:val="000000"/>
          <w:spacing w:val="22"/>
          <w:sz w:val="30"/>
          <w:szCs w:val="30"/>
          <w:lang w:eastAsia="zh-CN"/>
        </w:rPr>
      </w:pPr>
      <w:r>
        <w:rPr>
          <w:rFonts w:hint="eastAsia" w:ascii="仿宋" w:hAnsi="仿宋" w:eastAsia="仿宋" w:cs="仿宋"/>
          <w:color w:val="000000"/>
          <w:spacing w:val="22"/>
          <w:sz w:val="30"/>
          <w:szCs w:val="30"/>
          <w:lang w:eastAsia="zh-CN"/>
        </w:rPr>
        <w:t>正方产开运</w:t>
      </w:r>
      <w:r>
        <w:rPr>
          <w:rFonts w:hint="default" w:ascii="仿宋" w:hAnsi="仿宋" w:eastAsia="仿宋" w:cs="仿宋"/>
          <w:color w:val="000000"/>
          <w:spacing w:val="22"/>
          <w:sz w:val="30"/>
          <w:szCs w:val="30"/>
          <w:lang w:eastAsia="zh-CN"/>
        </w:rPr>
        <w:t>期望通过此次合作，快速补齐能力短板，一步到位建立起行业领先的巡检数字化基座，让无人机真正成为全域资产管理的“空中之眼”与“智慧大脑”，为公司“立足当前、布局长远”的高质量发展战略，注入强劲的低空科技动力。</w:t>
      </w:r>
    </w:p>
    <w:p w14:paraId="4F18439C">
      <w:pPr>
        <w:keepNext w:val="0"/>
        <w:keepLines w:val="0"/>
        <w:pageBreakBefore w:val="0"/>
        <w:widowControl/>
        <w:numPr>
          <w:ilvl w:val="-1"/>
          <w:numId w:val="0"/>
        </w:numPr>
        <w:kinsoku w:val="0"/>
        <w:wordWrap/>
        <w:overflowPunct/>
        <w:topLinePunct w:val="0"/>
        <w:autoSpaceDE w:val="0"/>
        <w:autoSpaceDN w:val="0"/>
        <w:bidi w:val="0"/>
        <w:adjustRightInd w:val="0"/>
        <w:snapToGrid w:val="0"/>
        <w:spacing w:line="560" w:lineRule="exact"/>
        <w:ind w:firstLine="602" w:firstLineChars="200"/>
        <w:textAlignment w:val="baseline"/>
        <w:outlineLvl w:val="2"/>
        <w:rPr>
          <w:rFonts w:hint="default" w:ascii="仿宋" w:hAnsi="仿宋" w:eastAsia="仿宋" w:cs="仿宋"/>
          <w:b/>
          <w:bCs/>
          <w:spacing w:val="0"/>
          <w:sz w:val="30"/>
          <w:szCs w:val="30"/>
          <w:lang w:val="en-US" w:eastAsia="zh-CN"/>
        </w:rPr>
      </w:pPr>
      <w:r>
        <w:rPr>
          <w:rFonts w:hint="default" w:ascii="仿宋" w:hAnsi="仿宋" w:eastAsia="仿宋" w:cs="仿宋"/>
          <w:b/>
          <w:bCs/>
          <w:spacing w:val="0"/>
          <w:sz w:val="30"/>
          <w:szCs w:val="30"/>
          <w:lang w:val="en-US" w:eastAsia="zh-CN"/>
        </w:rPr>
        <w:t>二、</w:t>
      </w:r>
      <w:r>
        <w:rPr>
          <w:rFonts w:hint="eastAsia" w:ascii="仿宋" w:hAnsi="仿宋" w:eastAsia="仿宋" w:cs="仿宋"/>
          <w:b/>
          <w:bCs/>
          <w:spacing w:val="0"/>
          <w:sz w:val="30"/>
          <w:szCs w:val="30"/>
          <w:lang w:val="en-US" w:eastAsia="zh-CN"/>
        </w:rPr>
        <w:t>系统功能集成</w:t>
      </w:r>
      <w:r>
        <w:rPr>
          <w:rFonts w:hint="default" w:ascii="仿宋" w:hAnsi="仿宋" w:eastAsia="仿宋" w:cs="仿宋"/>
          <w:b/>
          <w:bCs/>
          <w:spacing w:val="0"/>
          <w:sz w:val="30"/>
          <w:szCs w:val="30"/>
          <w:lang w:val="en-US" w:eastAsia="zh-CN"/>
        </w:rPr>
        <w:t>及技术底座核心需求（包括但不限于以下内容）</w:t>
      </w:r>
    </w:p>
    <w:p w14:paraId="5FDA3E8A">
      <w:pPr>
        <w:numPr>
          <w:ilvl w:val="0"/>
          <w:numId w:val="0"/>
        </w:numPr>
        <w:spacing w:before="120" w:after="120" w:line="288" w:lineRule="auto"/>
        <w:ind w:left="0" w:firstLine="688" w:firstLineChars="200"/>
        <w:jc w:val="left"/>
        <w:outlineLvl w:val="9"/>
        <w:rPr>
          <w:rFonts w:ascii="仿宋" w:hAnsi="仿宋" w:eastAsia="仿宋" w:cs="仿宋"/>
          <w:spacing w:val="22"/>
          <w:sz w:val="30"/>
          <w:szCs w:val="30"/>
          <w:lang w:eastAsia="zh-CN"/>
        </w:rPr>
      </w:pPr>
      <w:bookmarkStart w:id="5" w:name="heading_1"/>
      <w:r>
        <w:rPr>
          <w:rFonts w:hint="default" w:ascii="仿宋" w:hAnsi="仿宋" w:eastAsia="仿宋" w:cs="仿宋"/>
          <w:b w:val="0"/>
          <w:spacing w:val="22"/>
          <w:sz w:val="30"/>
          <w:szCs w:val="30"/>
          <w:lang w:val="en-US" w:eastAsia="zh-CN"/>
        </w:rPr>
        <w:t>2.1</w:t>
      </w:r>
      <w:r>
        <w:rPr>
          <w:rFonts w:hint="eastAsia" w:ascii="仿宋" w:hAnsi="仿宋" w:eastAsia="仿宋" w:cs="仿宋"/>
          <w:b w:val="0"/>
          <w:spacing w:val="22"/>
          <w:sz w:val="30"/>
          <w:szCs w:val="30"/>
          <w:lang w:val="en-US" w:eastAsia="zh-CN"/>
        </w:rPr>
        <w:t xml:space="preserve"> </w:t>
      </w:r>
      <w:r>
        <w:rPr>
          <w:rFonts w:ascii="仿宋" w:hAnsi="仿宋" w:eastAsia="仿宋" w:cs="仿宋"/>
          <w:b w:val="0"/>
          <w:spacing w:val="22"/>
          <w:sz w:val="30"/>
          <w:szCs w:val="30"/>
          <w:lang w:eastAsia="zh-CN"/>
        </w:rPr>
        <w:t>飞控系统功能需求</w:t>
      </w:r>
      <w:bookmarkEnd w:id="5"/>
    </w:p>
    <w:p w14:paraId="5A059C93">
      <w:pPr>
        <w:numPr>
          <w:ilvl w:val="0"/>
          <w:numId w:val="0"/>
        </w:numPr>
        <w:spacing w:before="120" w:after="120" w:line="288" w:lineRule="auto"/>
        <w:ind w:left="0" w:firstLine="688" w:firstLineChars="200"/>
        <w:jc w:val="left"/>
        <w:outlineLvl w:val="9"/>
        <w:rPr>
          <w:rFonts w:ascii="仿宋" w:hAnsi="仿宋" w:eastAsia="仿宋" w:cs="仿宋"/>
          <w:spacing w:val="22"/>
          <w:sz w:val="30"/>
          <w:szCs w:val="30"/>
          <w:lang w:eastAsia="zh-CN"/>
        </w:rPr>
      </w:pPr>
      <w:r>
        <w:rPr>
          <w:rFonts w:ascii="仿宋" w:hAnsi="仿宋" w:eastAsia="仿宋" w:cs="仿宋"/>
          <w:spacing w:val="22"/>
          <w:sz w:val="30"/>
          <w:szCs w:val="30"/>
          <w:lang w:eastAsia="zh-CN"/>
        </w:rPr>
        <w:t>系统采用分层架构进行设计，完整覆盖飞控算法研发、姿态稳定控制、自主避障、智能航线规划、多源飞行数据采集传输、软硬件兼容性适配核心模块，可适配多机型、多低空作业场景，具备较强落地性。</w:t>
      </w:r>
    </w:p>
    <w:p w14:paraId="42888C8D">
      <w:pPr>
        <w:numPr>
          <w:ilvl w:val="-1"/>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2.1.1</w:t>
      </w:r>
      <w:r>
        <w:rPr>
          <w:rFonts w:hint="eastAsia" w:ascii="仿宋" w:hAnsi="仿宋" w:eastAsia="仿宋" w:cs="仿宋"/>
          <w:b w:val="0"/>
          <w:spacing w:val="22"/>
          <w:sz w:val="30"/>
          <w:szCs w:val="30"/>
          <w:lang w:val="en-US" w:eastAsia="zh-CN"/>
        </w:rPr>
        <w:t xml:space="preserve"> </w:t>
      </w:r>
      <w:r>
        <w:rPr>
          <w:rFonts w:ascii="仿宋" w:hAnsi="仿宋" w:eastAsia="仿宋" w:cs="仿宋"/>
          <w:b w:val="0"/>
          <w:spacing w:val="22"/>
          <w:sz w:val="30"/>
          <w:szCs w:val="30"/>
          <w:lang w:eastAsia="zh-CN"/>
        </w:rPr>
        <w:t>姿态稳定控制</w:t>
      </w:r>
    </w:p>
    <w:p w14:paraId="4383DED5">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支持云端虚拟摇杆实现无人机远程手动操控，具备指点定点飞行、定点悬停、环绕飞行能力；针对大风、弱网环境实现姿态补偿，保障户外复杂环境飞行稳定；提供一键悬停、一键返航、一键降落等应急处置功能。</w:t>
      </w:r>
    </w:p>
    <w:p w14:paraId="301ECD69">
      <w:pPr>
        <w:numPr>
          <w:ilvl w:val="-1"/>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2.1.2 </w:t>
      </w:r>
      <w:r>
        <w:rPr>
          <w:rFonts w:ascii="仿宋" w:hAnsi="仿宋" w:eastAsia="仿宋" w:cs="仿宋"/>
          <w:b w:val="0"/>
          <w:spacing w:val="22"/>
          <w:sz w:val="30"/>
          <w:szCs w:val="30"/>
          <w:lang w:eastAsia="zh-CN"/>
        </w:rPr>
        <w:t>自主避障与飞行安全管控</w:t>
      </w:r>
    </w:p>
    <w:p w14:paraId="7221ACBE">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实现电子围栏管控，对禁飞区、限飞区开展校验拦截，对违规航线进行拦截并标记风险点位；可联动气象数据，在大风、降雨等恶劣天气条件下自动执行禁飞、强制返航操作；配置超低空防撞保护、姿态异常保护、失联自动返航多重安全兜底机制。</w:t>
      </w:r>
    </w:p>
    <w:p w14:paraId="2A63B414">
      <w:pPr>
        <w:numPr>
          <w:ilvl w:val="-1"/>
          <w:numId w:val="0"/>
        </w:numPr>
        <w:spacing w:before="120" w:after="120" w:line="288" w:lineRule="auto"/>
        <w:ind w:left="0" w:leftChars="0" w:firstLine="688" w:firstLineChars="200"/>
        <w:jc w:val="left"/>
        <w:rPr>
          <w:rFonts w:ascii="Arial" w:hAnsi="Arial" w:eastAsia="等线" w:cs="Arial"/>
          <w:sz w:val="22"/>
        </w:rPr>
      </w:pPr>
      <w:r>
        <w:rPr>
          <w:rFonts w:hint="default" w:ascii="仿宋" w:hAnsi="仿宋" w:eastAsia="仿宋" w:cs="仿宋"/>
          <w:b w:val="0"/>
          <w:spacing w:val="22"/>
          <w:sz w:val="30"/>
          <w:szCs w:val="30"/>
          <w:lang w:val="en-US" w:eastAsia="zh-CN"/>
        </w:rPr>
        <w:t>2.1.3</w:t>
      </w:r>
      <w:r>
        <w:rPr>
          <w:rFonts w:hint="eastAsia" w:ascii="仿宋" w:hAnsi="仿宋" w:eastAsia="仿宋" w:cs="仿宋"/>
          <w:b w:val="0"/>
          <w:spacing w:val="22"/>
          <w:sz w:val="30"/>
          <w:szCs w:val="30"/>
          <w:lang w:val="en-US" w:eastAsia="zh-CN"/>
        </w:rPr>
        <w:t xml:space="preserve"> </w:t>
      </w:r>
      <w:r>
        <w:rPr>
          <w:rFonts w:ascii="仿宋" w:hAnsi="仿宋" w:eastAsia="仿宋" w:cs="仿宋"/>
          <w:b w:val="0"/>
          <w:spacing w:val="22"/>
          <w:sz w:val="30"/>
          <w:szCs w:val="30"/>
          <w:lang w:eastAsia="zh-CN"/>
        </w:rPr>
        <w:t>智能航线规划与执行</w:t>
      </w:r>
    </w:p>
    <w:p w14:paraId="000A46B0">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搭建标准化航线库，支持 KML 航线导入与导出，可对飞行高度、巡航速度、航点停留时长、云台拍摄参数进行配置；支持周期巡检、临时巡检、应急突击巡检三类航线作业；具备航线断点续飞能力，设备返航再次起飞后可以接续断点完成剩余巡检任务；航线执行前自动开展合规校验，识别并拦截穿越禁飞区、高危区域的航线。</w:t>
      </w:r>
    </w:p>
    <w:p w14:paraId="423D7C45">
      <w:pPr>
        <w:numPr>
          <w:ilvl w:val="-1"/>
          <w:numId w:val="0"/>
        </w:numPr>
        <w:spacing w:before="120" w:after="120" w:line="288" w:lineRule="auto"/>
        <w:ind w:left="0" w:leftChars="0" w:firstLine="688" w:firstLineChars="200"/>
        <w:jc w:val="left"/>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2.1.4 </w:t>
      </w:r>
      <w:r>
        <w:rPr>
          <w:rFonts w:ascii="仿宋" w:hAnsi="仿宋" w:eastAsia="仿宋" w:cs="仿宋"/>
          <w:b w:val="0"/>
          <w:spacing w:val="22"/>
          <w:sz w:val="30"/>
          <w:szCs w:val="30"/>
          <w:lang w:eastAsia="zh-CN"/>
        </w:rPr>
        <w:t>多源飞行数据采集传输</w:t>
      </w:r>
    </w:p>
    <w:p w14:paraId="4A5B333A">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毫秒级回传飞行模式、经纬度位置、高度、航向、RTK 定位、电池状态、卫星搜星数量、机载负载状态等飞参数据；支持 4G/5G / 专网多链路自适应切换，弱网环境自动优化链路，保障图传稳定；完整留存飞行轨迹、操控指令、负载作业记录，支持单任务轨迹回放复盘。</w:t>
      </w:r>
    </w:p>
    <w:p w14:paraId="4E0A3D6E">
      <w:pPr>
        <w:numPr>
          <w:ilvl w:val="-1"/>
          <w:numId w:val="0"/>
        </w:numPr>
        <w:spacing w:before="120" w:after="120" w:line="288" w:lineRule="auto"/>
        <w:ind w:left="0" w:leftChars="0" w:firstLine="688" w:firstLineChars="200"/>
        <w:jc w:val="left"/>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2.1.5 </w:t>
      </w:r>
      <w:r>
        <w:rPr>
          <w:rFonts w:ascii="仿宋" w:hAnsi="仿宋" w:eastAsia="仿宋" w:cs="仿宋"/>
          <w:b w:val="0"/>
          <w:spacing w:val="22"/>
          <w:sz w:val="30"/>
          <w:szCs w:val="30"/>
          <w:lang w:eastAsia="zh-CN"/>
        </w:rPr>
        <w:t>软硬件兼容性适配</w:t>
      </w:r>
    </w:p>
    <w:p w14:paraId="6B746255">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兼容旋翼、垂起、固定翼多类无人机机型；适配主流行业无人机设备、自动机库以及各类机载负载，支持第三方设备 API 对接；满足机库全自动作业、飞手人工作业、应急处置等多种低空巡检业务场景。</w:t>
      </w:r>
    </w:p>
    <w:p w14:paraId="44B15804">
      <w:pPr>
        <w:numPr>
          <w:ilvl w:val="0"/>
          <w:numId w:val="0"/>
        </w:numPr>
        <w:spacing w:before="120" w:after="120" w:line="288" w:lineRule="auto"/>
        <w:ind w:left="0" w:firstLine="688" w:firstLineChars="200"/>
        <w:jc w:val="left"/>
        <w:outlineLvl w:val="9"/>
        <w:rPr>
          <w:rFonts w:ascii="仿宋" w:hAnsi="仿宋" w:eastAsia="仿宋" w:cs="仿宋"/>
          <w:spacing w:val="22"/>
          <w:sz w:val="30"/>
          <w:szCs w:val="30"/>
          <w:lang w:eastAsia="zh-CN"/>
        </w:rPr>
      </w:pPr>
      <w:r>
        <w:rPr>
          <w:rFonts w:hint="default" w:ascii="仿宋" w:hAnsi="仿宋" w:eastAsia="仿宋" w:cs="仿宋"/>
          <w:b w:val="0"/>
          <w:spacing w:val="22"/>
          <w:sz w:val="30"/>
          <w:szCs w:val="30"/>
          <w:lang w:val="en-US" w:eastAsia="zh-CN"/>
        </w:rPr>
        <w:t>2.2</w:t>
      </w:r>
      <w:r>
        <w:rPr>
          <w:rFonts w:ascii="仿宋" w:hAnsi="仿宋" w:eastAsia="仿宋" w:cs="仿宋"/>
          <w:b w:val="0"/>
          <w:spacing w:val="22"/>
          <w:sz w:val="30"/>
          <w:szCs w:val="30"/>
          <w:lang w:eastAsia="zh-CN"/>
        </w:rPr>
        <w:t>低空业务流程框架功能需求</w:t>
      </w:r>
    </w:p>
    <w:p w14:paraId="49CD7E7E">
      <w:pPr>
        <w:numPr>
          <w:ilvl w:val="0"/>
          <w:numId w:val="0"/>
        </w:numPr>
        <w:pBdr>
          <w:top w:val="none" w:color="auto" w:sz="0" w:space="0"/>
          <w:left w:val="none" w:color="auto" w:sz="0" w:space="0"/>
          <w:bottom w:val="none" w:color="auto" w:sz="0" w:space="0"/>
          <w:right w:val="none" w:color="auto" w:sz="0" w:space="0"/>
        </w:pBdr>
        <w:spacing w:before="0" w:after="0" w:line="560" w:lineRule="exact"/>
        <w:ind w:left="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围绕低空项目全生命周期，针对空域管理、飞行管控、作业调度、安全监管、数据溯源、运维管理搭建标准化、模块化、可拓展的业务流程框架，支持流程自定义、数据互通、迭代优化，满足项目常态化运营需要。</w:t>
      </w:r>
    </w:p>
    <w:p w14:paraId="5E591488">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2.2.1 </w:t>
      </w:r>
      <w:r>
        <w:rPr>
          <w:rFonts w:ascii="仿宋" w:hAnsi="仿宋" w:eastAsia="仿宋" w:cs="仿宋"/>
          <w:b w:val="0"/>
          <w:spacing w:val="22"/>
          <w:sz w:val="30"/>
          <w:szCs w:val="30"/>
          <w:lang w:eastAsia="zh-CN"/>
        </w:rPr>
        <w:t>空域资源管理</w:t>
      </w:r>
    </w:p>
    <w:p w14:paraId="51FB8E95">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通过 GIS 图层维护禁飞区、限飞区、安全作业围栏、巡检片区、重点巡检点位信息；在航线规划环节自动完成空域风险校验，规避违规飞行。</w:t>
      </w:r>
    </w:p>
    <w:p w14:paraId="00600A15">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2.2.2 </w:t>
      </w:r>
      <w:r>
        <w:rPr>
          <w:rFonts w:ascii="仿宋" w:hAnsi="仿宋" w:eastAsia="仿宋" w:cs="仿宋"/>
          <w:b w:val="0"/>
          <w:spacing w:val="22"/>
          <w:sz w:val="30"/>
          <w:szCs w:val="30"/>
          <w:lang w:eastAsia="zh-CN"/>
        </w:rPr>
        <w:t>作业调度管理</w:t>
      </w:r>
    </w:p>
    <w:p w14:paraId="68A5179A">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pPr>
      <w:r>
        <w:rPr>
          <w:rFonts w:ascii="仿宋" w:hAnsi="仿宋" w:eastAsia="仿宋" w:cs="仿宋"/>
          <w:spacing w:val="22"/>
          <w:sz w:val="30"/>
          <w:szCs w:val="30"/>
          <w:lang w:eastAsia="zh-CN"/>
        </w:rPr>
        <w:t>实现周期巡检、临时专项巡检、应急突击巡检任务的编制、审批、下发；可按照日、周、月自定义巡检频次，任务可下发至自动机库或者飞手移动端；支持按月生成巡检排班表。</w:t>
      </w:r>
    </w:p>
    <w:p w14:paraId="70C83428">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2.2.3 </w:t>
      </w:r>
      <w:r>
        <w:rPr>
          <w:rFonts w:ascii="仿宋" w:hAnsi="仿宋" w:eastAsia="仿宋" w:cs="仿宋"/>
          <w:b w:val="0"/>
          <w:spacing w:val="22"/>
          <w:sz w:val="30"/>
          <w:szCs w:val="30"/>
          <w:lang w:eastAsia="zh-CN"/>
        </w:rPr>
        <w:t>飞行管控与安全监管</w:t>
      </w:r>
    </w:p>
    <w:p w14:paraId="2859EB33">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依托 GIS 一张图实时监控无人机位置、飞行轨迹、飞参以及视频画面；针对任务超时、航线偏离、低电量、失联、气象超限等异常情况实现弹窗告警加消息推送；飞行全流程操作留痕，关键操作日志不可篡改。</w:t>
      </w:r>
    </w:p>
    <w:p w14:paraId="0053CC03">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2.2.4 </w:t>
      </w:r>
      <w:r>
        <w:rPr>
          <w:rFonts w:ascii="仿宋" w:hAnsi="仿宋" w:eastAsia="仿宋" w:cs="仿宋"/>
          <w:b w:val="0"/>
          <w:spacing w:val="22"/>
          <w:sz w:val="30"/>
          <w:szCs w:val="30"/>
          <w:lang w:eastAsia="zh-CN"/>
        </w:rPr>
        <w:t>隐患闭环处置流程</w:t>
      </w:r>
    </w:p>
    <w:p w14:paraId="2E288465">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实现隐患上报‑审核定级‑工单派发‑现场复核‑销号归档完整闭环管理；工单附带 GIS 坐标、航拍影像证据，可进行双重消息推送提醒。</w:t>
      </w:r>
    </w:p>
    <w:p w14:paraId="1101F5D4">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2.2.5 </w:t>
      </w:r>
      <w:r>
        <w:rPr>
          <w:rFonts w:ascii="仿宋" w:hAnsi="仿宋" w:eastAsia="仿宋" w:cs="仿宋"/>
          <w:b w:val="0"/>
          <w:spacing w:val="22"/>
          <w:sz w:val="30"/>
          <w:szCs w:val="30"/>
          <w:lang w:eastAsia="zh-CN"/>
        </w:rPr>
        <w:t>数据溯源归档</w:t>
      </w:r>
    </w:p>
    <w:p w14:paraId="07343A62">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完整保存任务计划、审批记录、飞行日志、航拍素材、隐患工单、巡检报告；各类日志支持查询、导出，满足监管审计、溯源要求。</w:t>
      </w:r>
    </w:p>
    <w:p w14:paraId="7C183D63">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2.2.6 </w:t>
      </w:r>
      <w:r>
        <w:rPr>
          <w:rFonts w:ascii="仿宋" w:hAnsi="仿宋" w:eastAsia="仿宋" w:cs="仿宋"/>
          <w:b w:val="0"/>
          <w:spacing w:val="22"/>
          <w:sz w:val="30"/>
          <w:szCs w:val="30"/>
          <w:lang w:eastAsia="zh-CN"/>
        </w:rPr>
        <w:t>运维与配置管理</w:t>
      </w:r>
    </w:p>
    <w:p w14:paraId="3EB3B230">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搭建多级角色权限体系，适配多层级组织架构管理；巡检报告模板、告警策略、飞行安全参数支持后台自定义配置，便于后续业务迭代扩展。</w:t>
      </w:r>
    </w:p>
    <w:p w14:paraId="7A3B4B8F">
      <w:pPr>
        <w:numPr>
          <w:ilvl w:val="-1"/>
          <w:numId w:val="0"/>
        </w:numPr>
        <w:spacing w:before="120" w:after="120" w:line="288" w:lineRule="auto"/>
        <w:ind w:left="0" w:firstLine="688" w:firstLineChars="200"/>
        <w:jc w:val="left"/>
        <w:outlineLvl w:val="9"/>
        <w:rPr>
          <w:rFonts w:ascii="仿宋" w:hAnsi="仿宋" w:eastAsia="仿宋" w:cs="仿宋"/>
          <w:spacing w:val="22"/>
          <w:sz w:val="30"/>
          <w:szCs w:val="30"/>
          <w:lang w:eastAsia="zh-CN"/>
        </w:rPr>
      </w:pPr>
      <w:bookmarkStart w:id="6" w:name="heading_3"/>
      <w:r>
        <w:rPr>
          <w:rFonts w:hint="default" w:ascii="仿宋" w:hAnsi="仿宋" w:eastAsia="仿宋" w:cs="仿宋"/>
          <w:b w:val="0"/>
          <w:spacing w:val="22"/>
          <w:sz w:val="30"/>
          <w:szCs w:val="30"/>
          <w:lang w:val="en-US" w:eastAsia="zh-CN"/>
        </w:rPr>
        <w:t xml:space="preserve">2.3 </w:t>
      </w:r>
      <w:r>
        <w:rPr>
          <w:rFonts w:ascii="仿宋" w:hAnsi="仿宋" w:eastAsia="仿宋" w:cs="仿宋"/>
          <w:b w:val="0"/>
          <w:spacing w:val="22"/>
          <w:sz w:val="30"/>
          <w:szCs w:val="30"/>
          <w:lang w:eastAsia="zh-CN"/>
        </w:rPr>
        <w:t>系统适配与集成功能需求</w:t>
      </w:r>
      <w:bookmarkEnd w:id="6"/>
    </w:p>
    <w:p w14:paraId="3E7FF4A9">
      <w:pPr>
        <w:numPr>
          <w:ilvl w:val="0"/>
          <w:numId w:val="0"/>
        </w:numPr>
        <w:pBdr>
          <w:top w:val="none" w:color="auto" w:sz="0" w:space="0"/>
          <w:left w:val="none" w:color="auto" w:sz="0" w:space="0"/>
          <w:bottom w:val="none" w:color="auto" w:sz="0" w:space="0"/>
          <w:right w:val="none" w:color="auto" w:sz="0" w:space="0"/>
        </w:pBdr>
        <w:spacing w:before="0" w:after="0" w:line="560" w:lineRule="exact"/>
        <w:ind w:left="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具备成熟的飞控软硬件联调、跨系统对接集成能力，实现飞控平台和低空监管、调度、安防等系统无缝对接，兼容主流低空飞行设备及通信模块，保障系统适配性与运行稳定性。</w:t>
      </w:r>
    </w:p>
    <w:p w14:paraId="12C0D1D2">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2.3.1</w:t>
      </w:r>
      <w:r>
        <w:rPr>
          <w:rFonts w:ascii="仿宋" w:hAnsi="仿宋" w:eastAsia="仿宋" w:cs="仿宋"/>
          <w:b w:val="0"/>
          <w:spacing w:val="22"/>
          <w:sz w:val="30"/>
          <w:szCs w:val="30"/>
          <w:lang w:eastAsia="zh-CN"/>
        </w:rPr>
        <w:t>软硬件联调能力</w:t>
      </w:r>
    </w:p>
    <w:p w14:paraId="10350167">
      <w:pPr>
        <w:numPr>
          <w:ilvl w:val="0"/>
          <w:numId w:val="0"/>
        </w:numPr>
        <w:pBdr>
          <w:top w:val="none" w:color="auto" w:sz="0" w:space="0"/>
          <w:left w:val="none" w:color="auto" w:sz="0" w:space="0"/>
          <w:bottom w:val="none" w:color="auto" w:sz="0" w:space="0"/>
          <w:right w:val="none" w:color="auto" w:sz="0" w:space="0"/>
        </w:pBdr>
        <w:spacing w:before="0" w:after="0" w:line="560" w:lineRule="exact"/>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完成平台与无人机、自动机库软硬件联调，读取机库状态、气象、供电、机库监控数据，实现任务启停联动；支持机载负载（双光相机、喊话器、探照灯）远程控制，实现负载工作状态回传与故障告警。</w:t>
      </w:r>
    </w:p>
    <w:p w14:paraId="25B1AA68">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2.3.2 </w:t>
      </w:r>
      <w:r>
        <w:rPr>
          <w:rFonts w:ascii="仿宋" w:hAnsi="仿宋" w:eastAsia="仿宋" w:cs="仿宋"/>
          <w:b w:val="0"/>
          <w:spacing w:val="22"/>
          <w:sz w:val="30"/>
          <w:szCs w:val="30"/>
          <w:lang w:eastAsia="zh-CN"/>
        </w:rPr>
        <w:t>跨系统对接集成</w:t>
      </w:r>
    </w:p>
    <w:p w14:paraId="15B23609">
      <w:pPr>
        <w:numPr>
          <w:ilvl w:val="-1"/>
          <w:numId w:val="0"/>
        </w:numPr>
        <w:spacing w:before="120" w:after="120" w:line="288" w:lineRule="auto"/>
        <w:ind w:left="0" w:leftChars="0" w:firstLine="688" w:firstLineChars="200"/>
        <w:jc w:val="left"/>
      </w:pPr>
      <w:r>
        <w:rPr>
          <w:rFonts w:ascii="仿宋" w:hAnsi="仿宋" w:eastAsia="仿宋" w:cs="仿宋"/>
          <w:spacing w:val="22"/>
          <w:sz w:val="30"/>
          <w:szCs w:val="30"/>
          <w:lang w:eastAsia="zh-CN"/>
        </w:rPr>
        <w:t>支持标准视频协议输出，向上级低空监管、指挥调度平台推送视频流；预留 API 接口，支持对接集团内部业务系统、外部低空监管平台、安防平台；支持 KML 地理文件导入导出。</w:t>
      </w:r>
    </w:p>
    <w:p w14:paraId="5FE3F8D1">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2.3.3 </w:t>
      </w:r>
      <w:r>
        <w:rPr>
          <w:rFonts w:ascii="仿宋" w:hAnsi="仿宋" w:eastAsia="仿宋" w:cs="仿宋"/>
          <w:b w:val="0"/>
          <w:spacing w:val="22"/>
          <w:sz w:val="30"/>
          <w:szCs w:val="30"/>
          <w:lang w:eastAsia="zh-CN"/>
        </w:rPr>
        <w:t>通信适配</w:t>
      </w:r>
    </w:p>
    <w:p w14:paraId="5E9AA498">
      <w:pPr>
        <w:numPr>
          <w:ilvl w:val="-1"/>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兼容有线网络、4G/5G 多种通信模式，实现链路自适应切换，保障空地数据、视频传输稳定。</w:t>
      </w:r>
    </w:p>
    <w:p w14:paraId="68F4A5E0">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2.3.4 </w:t>
      </w:r>
      <w:r>
        <w:rPr>
          <w:rFonts w:ascii="仿宋" w:hAnsi="仿宋" w:eastAsia="仿宋" w:cs="仿宋"/>
          <w:b w:val="0"/>
          <w:spacing w:val="22"/>
          <w:sz w:val="30"/>
          <w:szCs w:val="30"/>
          <w:lang w:eastAsia="zh-CN"/>
        </w:rPr>
        <w:t>部署与安全扩展</w:t>
      </w:r>
    </w:p>
    <w:p w14:paraId="71313F99">
      <w:pPr>
        <w:numPr>
          <w:ilvl w:val="-1"/>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支持私有化部署；构建防火墙、服务器安全加固、异地数据容灾安全体系；可支撑后期设备扩容、AI 算法迭代、业务模块新增。</w:t>
      </w:r>
    </w:p>
    <w:p w14:paraId="1D4AF143">
      <w:pPr>
        <w:numPr>
          <w:ilvl w:val="-1"/>
          <w:numId w:val="0"/>
        </w:numPr>
        <w:spacing w:before="120" w:after="120" w:line="288" w:lineRule="auto"/>
        <w:ind w:left="0" w:firstLine="688" w:firstLineChars="200"/>
        <w:jc w:val="left"/>
        <w:outlineLvl w:val="9"/>
        <w:rPr>
          <w:rFonts w:ascii="仿宋" w:hAnsi="仿宋" w:eastAsia="仿宋" w:cs="仿宋"/>
          <w:spacing w:val="22"/>
          <w:sz w:val="30"/>
          <w:szCs w:val="30"/>
          <w:lang w:eastAsia="zh-CN"/>
        </w:rPr>
      </w:pPr>
      <w:r>
        <w:rPr>
          <w:rFonts w:hint="default" w:ascii="仿宋" w:hAnsi="仿宋" w:eastAsia="仿宋" w:cs="仿宋"/>
          <w:b w:val="0"/>
          <w:spacing w:val="22"/>
          <w:sz w:val="30"/>
          <w:szCs w:val="30"/>
          <w:lang w:val="en-US" w:eastAsia="zh-CN"/>
        </w:rPr>
        <w:t xml:space="preserve">2.4 </w:t>
      </w:r>
      <w:r>
        <w:rPr>
          <w:rFonts w:ascii="仿宋" w:hAnsi="仿宋" w:eastAsia="仿宋" w:cs="仿宋"/>
          <w:b w:val="0"/>
          <w:spacing w:val="22"/>
          <w:sz w:val="30"/>
          <w:szCs w:val="30"/>
          <w:lang w:eastAsia="zh-CN"/>
        </w:rPr>
        <w:t>GIS 实景三维模型底座功能需求</w:t>
      </w:r>
    </w:p>
    <w:p w14:paraId="72F854A4">
      <w:pPr>
        <w:numPr>
          <w:ilvl w:val="0"/>
          <w:numId w:val="0"/>
        </w:numPr>
        <w:spacing w:before="120" w:after="120" w:line="288" w:lineRule="auto"/>
        <w:ind w:left="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将实景三维模型作为平台 GIS 基础底座，实现低空场景三维可视化展示、飞行轨迹三维叠加、作业区域三维标注、地形地貌适配分析，保障模型加载流畅，具备较高适配兼容性与落地性。</w:t>
      </w:r>
    </w:p>
    <w:p w14:paraId="08751958">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2.4.1 </w:t>
      </w:r>
      <w:r>
        <w:rPr>
          <w:rFonts w:ascii="仿宋" w:hAnsi="仿宋" w:eastAsia="仿宋" w:cs="仿宋"/>
          <w:b w:val="0"/>
          <w:spacing w:val="22"/>
          <w:sz w:val="30"/>
          <w:szCs w:val="30"/>
          <w:lang w:eastAsia="zh-CN"/>
        </w:rPr>
        <w:t>三维底座接入能力</w:t>
      </w:r>
    </w:p>
    <w:p w14:paraId="52EA58F2">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支持实景三维模型接入，兼容 OGC 标准；支持二维、三维视图切换；采用模型分级加载优化策略，保障大场景模型流畅渲染。</w:t>
      </w:r>
    </w:p>
    <w:p w14:paraId="1365623A">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2.4.2 </w:t>
      </w:r>
      <w:r>
        <w:rPr>
          <w:rFonts w:ascii="仿宋" w:hAnsi="仿宋" w:eastAsia="仿宋" w:cs="仿宋"/>
          <w:b w:val="0"/>
          <w:spacing w:val="22"/>
          <w:sz w:val="30"/>
          <w:szCs w:val="30"/>
          <w:lang w:eastAsia="zh-CN"/>
        </w:rPr>
        <w:t>三维可视化展示</w:t>
      </w:r>
    </w:p>
    <w:p w14:paraId="09B7A9B1">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无人机实时飞行轨迹、航点、巡检点位能够叠加渲染在三维模型场景中展示。</w:t>
      </w:r>
    </w:p>
    <w:p w14:paraId="39208180">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2.4.3 </w:t>
      </w:r>
      <w:r>
        <w:rPr>
          <w:rFonts w:ascii="仿宋" w:hAnsi="仿宋" w:eastAsia="仿宋" w:cs="仿宋"/>
          <w:b w:val="0"/>
          <w:spacing w:val="22"/>
          <w:sz w:val="30"/>
          <w:szCs w:val="30"/>
          <w:lang w:eastAsia="zh-CN"/>
        </w:rPr>
        <w:t>三维业务标注</w:t>
      </w:r>
    </w:p>
    <w:p w14:paraId="135BC6AB">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支持在三维场景对巡检片区、安全围栏、隐患点位进行标注；隐患点位可在三维场景直接跳转查看现场影像证据。</w:t>
      </w:r>
    </w:p>
    <w:p w14:paraId="2E2191E0">
      <w:pPr>
        <w:numPr>
          <w:ilvl w:val="-1"/>
          <w:numId w:val="0"/>
        </w:numPr>
        <w:spacing w:before="120" w:after="120" w:line="288" w:lineRule="auto"/>
        <w:ind w:left="0" w:leftChars="0" w:firstLine="688" w:firstLineChars="200"/>
        <w:jc w:val="left"/>
        <w:outlineLvl w:val="9"/>
        <w:rPr>
          <w:rFonts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2.4.4 </w:t>
      </w:r>
      <w:r>
        <w:rPr>
          <w:rFonts w:ascii="仿宋" w:hAnsi="仿宋" w:eastAsia="仿宋" w:cs="仿宋"/>
          <w:b w:val="0"/>
          <w:spacing w:val="22"/>
          <w:sz w:val="30"/>
          <w:szCs w:val="30"/>
          <w:lang w:eastAsia="zh-CN"/>
        </w:rPr>
        <w:t>地形地貌适配分析</w:t>
      </w:r>
    </w:p>
    <w:p w14:paraId="39D7D234">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基于三维地形开展地形、建筑物遮挡分析，辅助航线规划，识别作业风险。</w:t>
      </w:r>
    </w:p>
    <w:p w14:paraId="552A661F">
      <w:pPr>
        <w:numPr>
          <w:ilvl w:val="-1"/>
          <w:numId w:val="0"/>
        </w:numPr>
        <w:spacing w:before="120" w:after="120" w:line="288" w:lineRule="auto"/>
        <w:ind w:left="0" w:firstLine="688" w:firstLineChars="200"/>
        <w:jc w:val="left"/>
        <w:outlineLvl w:val="9"/>
        <w:rPr>
          <w:rFonts w:ascii="仿宋" w:hAnsi="仿宋" w:eastAsia="仿宋" w:cs="仿宋"/>
          <w:spacing w:val="22"/>
          <w:sz w:val="30"/>
          <w:szCs w:val="30"/>
          <w:lang w:eastAsia="zh-CN"/>
        </w:rPr>
      </w:pPr>
      <w:r>
        <w:rPr>
          <w:rFonts w:hint="default" w:ascii="仿宋" w:hAnsi="仿宋" w:eastAsia="仿宋" w:cs="仿宋"/>
          <w:b w:val="0"/>
          <w:spacing w:val="22"/>
          <w:sz w:val="30"/>
          <w:szCs w:val="30"/>
          <w:lang w:val="en-US" w:eastAsia="zh-CN"/>
        </w:rPr>
        <w:t xml:space="preserve">2.5 </w:t>
      </w:r>
      <w:r>
        <w:rPr>
          <w:rFonts w:ascii="仿宋" w:hAnsi="仿宋" w:eastAsia="仿宋" w:cs="仿宋"/>
          <w:b w:val="0"/>
          <w:spacing w:val="22"/>
          <w:sz w:val="30"/>
          <w:szCs w:val="30"/>
          <w:lang w:eastAsia="zh-CN"/>
        </w:rPr>
        <w:t>夜间 AI 火点及人员智能识别功能需求</w:t>
      </w:r>
    </w:p>
    <w:p w14:paraId="222431E5">
      <w:pPr>
        <w:numPr>
          <w:ilvl w:val="0"/>
          <w:numId w:val="0"/>
        </w:numPr>
        <w:spacing w:before="120" w:after="120" w:line="288" w:lineRule="auto"/>
        <w:ind w:left="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面向低空夜间作业场景，搭建成熟 AI 智能识别方案，算法嵌入飞控平台实现联动调度，适配夜间低光、逆光、弱可视复杂环境，保证识别准确率，降低误报率。</w:t>
      </w:r>
    </w:p>
    <w:p w14:paraId="03293811">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2.5.1 </w:t>
      </w:r>
      <w:r>
        <w:rPr>
          <w:rFonts w:hint="default" w:ascii="仿宋" w:hAnsi="仿宋" w:eastAsia="仿宋" w:cs="仿宋"/>
          <w:b w:val="0"/>
          <w:spacing w:val="22"/>
          <w:sz w:val="30"/>
          <w:szCs w:val="30"/>
          <w:lang w:eastAsia="zh-CN"/>
        </w:rPr>
        <w:t>火点识别预警</w:t>
      </w:r>
    </w:p>
    <w:p w14:paraId="4267F6BE">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实现夜间全时段火点精准识别、火情 GIS 坐标定位、火情分级预警。</w:t>
      </w:r>
    </w:p>
    <w:p w14:paraId="2CCF438E">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2.5.2 </w:t>
      </w:r>
      <w:r>
        <w:rPr>
          <w:rFonts w:hint="default" w:ascii="仿宋" w:hAnsi="仿宋" w:eastAsia="仿宋" w:cs="仿宋"/>
          <w:b w:val="0"/>
          <w:spacing w:val="22"/>
          <w:sz w:val="30"/>
          <w:szCs w:val="30"/>
          <w:lang w:eastAsia="zh-CN"/>
        </w:rPr>
        <w:t>人员识别监测</w:t>
      </w:r>
    </w:p>
    <w:p w14:paraId="034B99B5">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实现人员目标检测、人员越界识别、人员轨迹追踪。</w:t>
      </w:r>
    </w:p>
    <w:p w14:paraId="2737FB78">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2.5.3 </w:t>
      </w:r>
      <w:r>
        <w:rPr>
          <w:rFonts w:hint="default" w:ascii="仿宋" w:hAnsi="仿宋" w:eastAsia="仿宋" w:cs="仿宋"/>
          <w:b w:val="0"/>
          <w:spacing w:val="22"/>
          <w:sz w:val="30"/>
          <w:szCs w:val="30"/>
          <w:lang w:eastAsia="zh-CN"/>
        </w:rPr>
        <w:t>复杂环境适配</w:t>
      </w:r>
    </w:p>
    <w:p w14:paraId="34E55FD0">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适配夜间低光、逆光、雾天弱可视环境，兼容可见光、红外热成像画面输入，通过算法优化降低误报、漏报。</w:t>
      </w:r>
    </w:p>
    <w:p w14:paraId="56F554C9">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2.5.4 </w:t>
      </w:r>
      <w:r>
        <w:rPr>
          <w:rFonts w:hint="default" w:ascii="仿宋" w:hAnsi="仿宋" w:eastAsia="仿宋" w:cs="仿宋"/>
          <w:b w:val="0"/>
          <w:spacing w:val="22"/>
          <w:sz w:val="30"/>
          <w:szCs w:val="30"/>
          <w:lang w:eastAsia="zh-CN"/>
        </w:rPr>
        <w:t>AI</w:t>
      </w:r>
      <w:r>
        <w:rPr>
          <w:rFonts w:hint="default" w:ascii="仿宋" w:hAnsi="仿宋" w:eastAsia="仿宋" w:cs="仿宋"/>
          <w:b w:val="0"/>
          <w:spacing w:val="22"/>
          <w:sz w:val="30"/>
          <w:szCs w:val="30"/>
          <w:lang w:val="en-US" w:eastAsia="zh-CN"/>
        </w:rPr>
        <w:t>-</w:t>
      </w:r>
      <w:r>
        <w:rPr>
          <w:rFonts w:hint="default" w:ascii="仿宋" w:hAnsi="仿宋" w:eastAsia="仿宋" w:cs="仿宋"/>
          <w:b w:val="0"/>
          <w:spacing w:val="22"/>
          <w:sz w:val="30"/>
          <w:szCs w:val="30"/>
          <w:lang w:eastAsia="zh-CN"/>
        </w:rPr>
        <w:t>飞控平台联动</w:t>
      </w:r>
    </w:p>
    <w:p w14:paraId="21A33179">
      <w:pPr>
        <w:numPr>
          <w:ilvl w:val="-1"/>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识别火点、人员越界隐患后自动标记 GIS 坐标、截取画面，推送至隐患台账；支持联动飞控调度无人机抵近复核，联动机载喊话器执行警示操作。</w:t>
      </w:r>
    </w:p>
    <w:p w14:paraId="3923BC6A">
      <w:pPr>
        <w:numPr>
          <w:ilvl w:val="-1"/>
          <w:numId w:val="0"/>
        </w:numPr>
        <w:spacing w:before="120" w:after="120" w:line="288" w:lineRule="auto"/>
        <w:ind w:left="0" w:firstLine="688" w:firstLineChars="200"/>
        <w:jc w:val="left"/>
        <w:outlineLvl w:val="9"/>
        <w:rPr>
          <w:rFonts w:hint="default" w:ascii="仿宋" w:hAnsi="仿宋" w:eastAsia="仿宋" w:cs="仿宋"/>
          <w:spacing w:val="22"/>
          <w:sz w:val="30"/>
          <w:szCs w:val="30"/>
          <w:lang w:eastAsia="zh-CN"/>
        </w:rPr>
      </w:pPr>
      <w:r>
        <w:rPr>
          <w:rFonts w:hint="default" w:ascii="仿宋" w:hAnsi="仿宋" w:eastAsia="仿宋" w:cs="仿宋"/>
          <w:b w:val="0"/>
          <w:spacing w:val="22"/>
          <w:sz w:val="30"/>
          <w:szCs w:val="30"/>
          <w:lang w:val="en-US" w:eastAsia="zh-CN"/>
        </w:rPr>
        <w:t>2.6</w:t>
      </w:r>
      <w:r>
        <w:rPr>
          <w:rFonts w:hint="default" w:ascii="仿宋" w:hAnsi="仿宋" w:eastAsia="仿宋" w:cs="仿宋"/>
          <w:b w:val="0"/>
          <w:spacing w:val="22"/>
          <w:sz w:val="30"/>
          <w:szCs w:val="30"/>
          <w:lang w:eastAsia="zh-CN"/>
        </w:rPr>
        <w:t>无人机与地面固定摄像头联动开发功能需求</w:t>
      </w:r>
    </w:p>
    <w:p w14:paraId="37227963">
      <w:pPr>
        <w:numPr>
          <w:ilvl w:val="0"/>
          <w:numId w:val="0"/>
        </w:numPr>
        <w:spacing w:before="120" w:after="120" w:line="288" w:lineRule="auto"/>
        <w:ind w:left="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具备无人机与地面固定摄像头成熟联动方案，地面摄像头接入平台，预警信息可联动无人机执行指定巡检动作；同时实现飞行姿态、航线任务和机载相机的全程联动，可与 AI 识别、三维底座深度融合作业。</w:t>
      </w:r>
    </w:p>
    <w:p w14:paraId="7BCC5DFF">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2.6.1 </w:t>
      </w:r>
      <w:r>
        <w:rPr>
          <w:rFonts w:hint="default" w:ascii="仿宋" w:hAnsi="仿宋" w:eastAsia="仿宋" w:cs="仿宋"/>
          <w:b w:val="0"/>
          <w:spacing w:val="22"/>
          <w:sz w:val="30"/>
          <w:szCs w:val="30"/>
          <w:lang w:eastAsia="zh-CN"/>
        </w:rPr>
        <w:t>地面摄像头接入</w:t>
      </w:r>
    </w:p>
    <w:p w14:paraId="634E0DE9">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平台接入地面固定摄像头视频流，完成视频集中查看管理。</w:t>
      </w:r>
    </w:p>
    <w:p w14:paraId="5870C1FA">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2.6.2 </w:t>
      </w:r>
      <w:r>
        <w:rPr>
          <w:rFonts w:hint="default" w:ascii="仿宋" w:hAnsi="仿宋" w:eastAsia="仿宋" w:cs="仿宋"/>
          <w:b w:val="0"/>
          <w:spacing w:val="22"/>
          <w:sz w:val="30"/>
          <w:szCs w:val="30"/>
          <w:lang w:eastAsia="zh-CN"/>
        </w:rPr>
        <w:t>地面预警联动无人机</w:t>
      </w:r>
    </w:p>
    <w:p w14:paraId="5B937EB1">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地面摄像头产生告警预警信息时，平台可联动调度无人机飞往告警点位，完成指定巡检、复核取证动作。</w:t>
      </w:r>
    </w:p>
    <w:p w14:paraId="0F03D51E">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2.6.3 </w:t>
      </w:r>
      <w:r>
        <w:rPr>
          <w:rFonts w:hint="default" w:ascii="仿宋" w:hAnsi="仿宋" w:eastAsia="仿宋" w:cs="仿宋"/>
          <w:b w:val="0"/>
          <w:spacing w:val="22"/>
          <w:sz w:val="30"/>
          <w:szCs w:val="30"/>
          <w:lang w:eastAsia="zh-CN"/>
        </w:rPr>
        <w:t>机载相机与飞行任务联动</w:t>
      </w:r>
    </w:p>
    <w:p w14:paraId="77FFE061">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飞行姿态、航线任务和机载云台联动，支持云台俯仰、旋转、变焦、抓拍、录像远程控制；沿航线自动跟踪取景，航点到达后自动定点聚焦；异常画面自动留存取证素材；适配高低空、昼夜作业场景，联动响应快、延迟低。</w:t>
      </w:r>
    </w:p>
    <w:p w14:paraId="17C64DCC">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2.6.4 </w:t>
      </w:r>
      <w:r>
        <w:rPr>
          <w:rFonts w:hint="default" w:ascii="仿宋" w:hAnsi="仿宋" w:eastAsia="仿宋" w:cs="仿宋"/>
          <w:b w:val="0"/>
          <w:spacing w:val="22"/>
          <w:sz w:val="30"/>
          <w:szCs w:val="30"/>
          <w:lang w:eastAsia="zh-CN"/>
        </w:rPr>
        <w:t>多模块融合联动</w:t>
      </w:r>
    </w:p>
    <w:p w14:paraId="6553B8AD">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相机采集画面送入 AI 识别模块开展分析；采集素材绑定二维 / 三维 GIS 点位、时间、轨迹完成归档；支持无人机、地面摄像头、AI 识别、三维底座一体化协同作业。</w:t>
      </w:r>
    </w:p>
    <w:p w14:paraId="6AF5A601">
      <w:pPr>
        <w:numPr>
          <w:ilvl w:val="-1"/>
          <w:numId w:val="0"/>
        </w:numPr>
        <w:spacing w:before="120" w:after="120" w:line="288" w:lineRule="auto"/>
        <w:ind w:left="0" w:firstLine="688" w:firstLineChars="200"/>
        <w:jc w:val="left"/>
        <w:outlineLvl w:val="9"/>
        <w:rPr>
          <w:rFonts w:hint="default" w:ascii="仿宋" w:hAnsi="仿宋" w:eastAsia="仿宋" w:cs="仿宋"/>
          <w:spacing w:val="22"/>
          <w:sz w:val="30"/>
          <w:szCs w:val="30"/>
          <w:lang w:eastAsia="zh-CN"/>
        </w:rPr>
      </w:pPr>
      <w:r>
        <w:rPr>
          <w:rFonts w:hint="default" w:ascii="仿宋" w:hAnsi="仿宋" w:eastAsia="仿宋" w:cs="仿宋"/>
          <w:b w:val="0"/>
          <w:spacing w:val="22"/>
          <w:sz w:val="30"/>
          <w:szCs w:val="30"/>
          <w:lang w:val="en-US" w:eastAsia="zh-CN"/>
        </w:rPr>
        <w:t xml:space="preserve">2.7 </w:t>
      </w:r>
      <w:r>
        <w:rPr>
          <w:rFonts w:hint="default" w:ascii="仿宋" w:hAnsi="仿宋" w:eastAsia="仿宋" w:cs="仿宋"/>
          <w:b w:val="0"/>
          <w:spacing w:val="22"/>
          <w:sz w:val="30"/>
          <w:szCs w:val="30"/>
          <w:lang w:eastAsia="zh-CN"/>
        </w:rPr>
        <w:t>公共基础支撑功能</w:t>
      </w:r>
    </w:p>
    <w:p w14:paraId="08D81730">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2.7.1 </w:t>
      </w:r>
      <w:r>
        <w:rPr>
          <w:rFonts w:hint="default" w:ascii="仿宋" w:hAnsi="仿宋" w:eastAsia="仿宋" w:cs="仿宋"/>
          <w:b w:val="0"/>
          <w:spacing w:val="22"/>
          <w:sz w:val="30"/>
          <w:szCs w:val="30"/>
          <w:lang w:eastAsia="zh-CN"/>
        </w:rPr>
        <w:t>多角色权限管理</w:t>
      </w:r>
    </w:p>
    <w:p w14:paraId="7C299757">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设置超级管理员、业务管理员、巡检负责人、飞手、督查人员角色，实现精细化权限控制，支持多层级穿透式管理。</w:t>
      </w:r>
    </w:p>
    <w:p w14:paraId="67BF59C5">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2.7.2 </w:t>
      </w:r>
      <w:r>
        <w:rPr>
          <w:rFonts w:hint="default" w:ascii="仿宋" w:hAnsi="仿宋" w:eastAsia="仿宋" w:cs="仿宋"/>
          <w:b w:val="0"/>
          <w:spacing w:val="22"/>
          <w:sz w:val="30"/>
          <w:szCs w:val="30"/>
          <w:lang w:eastAsia="zh-CN"/>
        </w:rPr>
        <w:t>日志审计管理</w:t>
      </w:r>
    </w:p>
    <w:p w14:paraId="27FEB185">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统一管理飞行日志、操作审计日志、告警日志、运维日志，日志支持查询导出、不可篡改，满足审计要求。</w:t>
      </w:r>
    </w:p>
    <w:p w14:paraId="17232405">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2.7.3 </w:t>
      </w:r>
      <w:r>
        <w:rPr>
          <w:rFonts w:hint="default" w:ascii="仿宋" w:hAnsi="仿宋" w:eastAsia="仿宋" w:cs="仿宋"/>
          <w:b w:val="0"/>
          <w:spacing w:val="22"/>
          <w:sz w:val="30"/>
          <w:szCs w:val="30"/>
          <w:lang w:eastAsia="zh-CN"/>
        </w:rPr>
        <w:t>统计报表与报告输出</w:t>
      </w:r>
    </w:p>
    <w:p w14:paraId="5ED8F5F5">
      <w:pPr>
        <w:numPr>
          <w:ilvl w:val="0"/>
          <w:numId w:val="0"/>
        </w:numPr>
        <w:spacing w:before="120" w:after="120" w:line="288" w:lineRule="auto"/>
        <w:ind w:left="0" w:leftChars="0" w:firstLine="688" w:firstLineChars="200"/>
        <w:jc w:val="left"/>
        <w:rPr>
          <w:rFonts w:ascii="仿宋" w:hAnsi="仿宋" w:eastAsia="仿宋" w:cs="仿宋"/>
          <w:spacing w:val="22"/>
          <w:sz w:val="30"/>
          <w:szCs w:val="30"/>
          <w:lang w:eastAsia="zh-CN"/>
        </w:rPr>
      </w:pPr>
      <w:r>
        <w:rPr>
          <w:rFonts w:ascii="仿宋" w:hAnsi="仿宋" w:eastAsia="仿宋" w:cs="仿宋"/>
          <w:spacing w:val="22"/>
          <w:sz w:val="30"/>
          <w:szCs w:val="30"/>
          <w:lang w:eastAsia="zh-CN"/>
        </w:rPr>
        <w:t>自动统计巡检架次、飞行时长、作业覆盖面积、设备故障、恶劣天气停飞数据；支持周期统计报表可视化展示。</w:t>
      </w:r>
    </w:p>
    <w:p w14:paraId="45364A9C">
      <w:pPr>
        <w:numPr>
          <w:ilvl w:val="-1"/>
          <w:numId w:val="0"/>
        </w:numPr>
        <w:spacing w:before="120" w:after="120" w:line="288" w:lineRule="auto"/>
        <w:ind w:left="0" w:leftChars="0" w:firstLine="688" w:firstLineChars="200"/>
        <w:jc w:val="left"/>
        <w:outlineLvl w:val="9"/>
        <w:rPr>
          <w:rFonts w:hint="default" w:ascii="仿宋" w:hAnsi="仿宋" w:eastAsia="仿宋" w:cs="仿宋"/>
          <w:b w:val="0"/>
          <w:spacing w:val="22"/>
          <w:sz w:val="30"/>
          <w:szCs w:val="30"/>
          <w:lang w:eastAsia="zh-CN"/>
        </w:rPr>
      </w:pPr>
      <w:r>
        <w:rPr>
          <w:rFonts w:hint="default" w:ascii="仿宋" w:hAnsi="仿宋" w:eastAsia="仿宋" w:cs="仿宋"/>
          <w:b w:val="0"/>
          <w:spacing w:val="22"/>
          <w:sz w:val="30"/>
          <w:szCs w:val="30"/>
          <w:lang w:val="en-US" w:eastAsia="zh-CN"/>
        </w:rPr>
        <w:t xml:space="preserve">2.7.4 </w:t>
      </w:r>
      <w:r>
        <w:rPr>
          <w:rFonts w:hint="default" w:ascii="仿宋" w:hAnsi="仿宋" w:eastAsia="仿宋" w:cs="仿宋"/>
          <w:b w:val="0"/>
          <w:spacing w:val="22"/>
          <w:sz w:val="30"/>
          <w:szCs w:val="30"/>
          <w:lang w:eastAsia="zh-CN"/>
        </w:rPr>
        <w:t>自动机库硬件联动</w:t>
      </w:r>
    </w:p>
    <w:p w14:paraId="55A3D333">
      <w:pPr>
        <w:keepNext w:val="0"/>
        <w:keepLines w:val="0"/>
        <w:pageBreakBefore w:val="0"/>
        <w:widowControl/>
        <w:numPr>
          <w:ilvl w:val="0"/>
          <w:numId w:val="0"/>
        </w:numPr>
        <w:kinsoku/>
        <w:wordWrap/>
        <w:overflowPunct/>
        <w:topLinePunct w:val="0"/>
        <w:autoSpaceDE/>
        <w:autoSpaceDN/>
        <w:bidi w:val="0"/>
        <w:adjustRightInd/>
        <w:snapToGrid/>
        <w:spacing w:before="120" w:after="120" w:line="288" w:lineRule="auto"/>
        <w:ind w:left="0" w:firstLine="688" w:firstLineChars="200"/>
        <w:textAlignment w:val="auto"/>
        <w:outlineLvl w:val="9"/>
        <w:rPr>
          <w:rFonts w:ascii="仿宋" w:hAnsi="仿宋" w:eastAsia="仿宋" w:cs="仿宋"/>
          <w:spacing w:val="22"/>
          <w:sz w:val="30"/>
          <w:szCs w:val="30"/>
          <w:lang w:eastAsia="zh-CN"/>
        </w:rPr>
      </w:pPr>
      <w:r>
        <w:rPr>
          <w:rFonts w:ascii="仿宋" w:hAnsi="仿宋" w:eastAsia="仿宋" w:cs="仿宋"/>
          <w:spacing w:val="22"/>
          <w:sz w:val="30"/>
          <w:szCs w:val="30"/>
          <w:lang w:eastAsia="zh-CN"/>
        </w:rPr>
        <w:t>对接机库内置气象站、工业空调、机库摄像头；读取风速、雨量、温湿度、供电、机库内部状态，结合气象条件管控飞行任务启停。</w:t>
      </w:r>
    </w:p>
    <w:p w14:paraId="1908A826">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highlight w:val="none"/>
          <w:lang w:val="en-US" w:eastAsia="zh-CN"/>
        </w:rPr>
      </w:pPr>
      <w:r>
        <w:rPr>
          <w:rFonts w:hint="eastAsia" w:ascii="仿宋" w:hAnsi="仿宋" w:eastAsia="仿宋" w:cs="仿宋"/>
          <w:spacing w:val="22"/>
          <w:sz w:val="30"/>
          <w:szCs w:val="30"/>
          <w:lang w:val="en-US" w:eastAsia="zh-CN"/>
        </w:rPr>
        <w:t xml:space="preserve">2.8 </w:t>
      </w:r>
      <w:r>
        <w:rPr>
          <w:rFonts w:hint="eastAsia" w:ascii="仿宋" w:hAnsi="仿宋" w:eastAsia="仿宋" w:cs="仿宋"/>
          <w:color w:val="000000"/>
          <w:spacing w:val="22"/>
          <w:sz w:val="30"/>
          <w:szCs w:val="30"/>
          <w:highlight w:val="none"/>
          <w:lang w:val="en-US" w:eastAsia="zh-CN"/>
        </w:rPr>
        <w:t>配套硬件</w:t>
      </w:r>
    </w:p>
    <w:p w14:paraId="77478980">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lang w:eastAsia="zh-CN"/>
        </w:rPr>
      </w:pPr>
      <w:r>
        <w:rPr>
          <w:rFonts w:hint="eastAsia" w:ascii="仿宋" w:hAnsi="仿宋" w:eastAsia="仿宋" w:cs="仿宋"/>
          <w:color w:val="000000"/>
          <w:spacing w:val="22"/>
          <w:sz w:val="30"/>
          <w:szCs w:val="30"/>
          <w:lang w:eastAsia="zh-CN"/>
        </w:rPr>
        <w:t>自动机库需满足</w:t>
      </w:r>
      <w:r>
        <w:rPr>
          <w:rFonts w:hint="eastAsia" w:ascii="仿宋" w:hAnsi="仿宋" w:eastAsia="仿宋" w:cs="仿宋"/>
          <w:color w:val="000000"/>
          <w:spacing w:val="22"/>
          <w:sz w:val="30"/>
          <w:szCs w:val="30"/>
          <w:lang w:val="en-US" w:eastAsia="zh-CN"/>
        </w:rPr>
        <w:t>以下功能</w:t>
      </w:r>
      <w:r>
        <w:rPr>
          <w:rFonts w:hint="eastAsia" w:ascii="仿宋" w:hAnsi="仿宋" w:eastAsia="仿宋" w:cs="仿宋"/>
          <w:color w:val="000000"/>
          <w:spacing w:val="22"/>
          <w:sz w:val="30"/>
          <w:szCs w:val="30"/>
          <w:lang w:eastAsia="zh-CN"/>
        </w:rPr>
        <w:t>：</w:t>
      </w:r>
    </w:p>
    <w:p w14:paraId="0E72FA26">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lang w:eastAsia="zh-CN"/>
        </w:rPr>
      </w:pPr>
      <w:r>
        <w:rPr>
          <w:rFonts w:hint="eastAsia" w:ascii="仿宋" w:hAnsi="仿宋" w:eastAsia="仿宋" w:cs="仿宋"/>
          <w:color w:val="000000"/>
          <w:spacing w:val="22"/>
          <w:sz w:val="30"/>
          <w:szCs w:val="30"/>
          <w:lang w:eastAsia="zh-CN"/>
        </w:rPr>
        <w:t>（1）自动机库箱体由铝合金及钢结构打造，具备防火、防水、防雷、防盗功能，自动机库箱可以达到IP5</w:t>
      </w:r>
      <w:r>
        <w:rPr>
          <w:rFonts w:hint="eastAsia" w:ascii="仿宋" w:hAnsi="仿宋" w:eastAsia="仿宋" w:cs="仿宋"/>
          <w:color w:val="000000"/>
          <w:spacing w:val="22"/>
          <w:sz w:val="30"/>
          <w:szCs w:val="30"/>
          <w:lang w:val="en-US" w:eastAsia="zh-CN"/>
        </w:rPr>
        <w:t>6</w:t>
      </w:r>
      <w:r>
        <w:rPr>
          <w:rFonts w:hint="eastAsia" w:ascii="仿宋" w:hAnsi="仿宋" w:eastAsia="仿宋" w:cs="仿宋"/>
          <w:color w:val="000000"/>
          <w:spacing w:val="22"/>
          <w:sz w:val="30"/>
          <w:szCs w:val="30"/>
          <w:lang w:eastAsia="zh-CN"/>
        </w:rPr>
        <w:t>的防护等级；</w:t>
      </w:r>
    </w:p>
    <w:p w14:paraId="6BF34703">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lang w:eastAsia="zh-CN"/>
        </w:rPr>
      </w:pPr>
      <w:r>
        <w:rPr>
          <w:rFonts w:hint="eastAsia" w:ascii="仿宋" w:hAnsi="仿宋" w:eastAsia="仿宋" w:cs="仿宋"/>
          <w:color w:val="000000"/>
          <w:spacing w:val="22"/>
          <w:sz w:val="30"/>
          <w:szCs w:val="30"/>
          <w:lang w:eastAsia="zh-CN"/>
        </w:rPr>
        <w:t>（2）机库内配备摄像头，实时监控机库内部飞机状态；</w:t>
      </w:r>
    </w:p>
    <w:p w14:paraId="6EF83BAB">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lang w:eastAsia="zh-CN"/>
        </w:rPr>
      </w:pPr>
      <w:r>
        <w:rPr>
          <w:rFonts w:hint="eastAsia" w:ascii="仿宋" w:hAnsi="仿宋" w:eastAsia="仿宋" w:cs="仿宋"/>
          <w:color w:val="000000"/>
          <w:spacing w:val="22"/>
          <w:sz w:val="30"/>
          <w:szCs w:val="30"/>
          <w:lang w:eastAsia="zh-CN"/>
        </w:rPr>
        <w:t>（3）自动机库内配有工业空调，根据室外温度合理控温，使飞机在机库内处于一个恒温状态；</w:t>
      </w:r>
    </w:p>
    <w:p w14:paraId="64A6D8BD">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default" w:ascii="仿宋" w:hAnsi="仿宋" w:eastAsia="仿宋" w:cs="仿宋"/>
          <w:color w:val="000000"/>
          <w:spacing w:val="22"/>
          <w:sz w:val="30"/>
          <w:szCs w:val="30"/>
          <w:lang w:val="en-US" w:eastAsia="zh-CN"/>
        </w:rPr>
      </w:pPr>
      <w:r>
        <w:rPr>
          <w:rFonts w:hint="eastAsia" w:ascii="仿宋" w:hAnsi="仿宋" w:eastAsia="仿宋" w:cs="仿宋"/>
          <w:color w:val="000000"/>
          <w:spacing w:val="22"/>
          <w:sz w:val="30"/>
          <w:szCs w:val="30"/>
          <w:lang w:eastAsia="zh-CN"/>
        </w:rPr>
        <w:t>（4）自动机库配备独立气象站，能够根据实际天气状况判断是否执行任务，包括对风速、风向、雨量、温度、湿度、气压检测。配备摄像头，实时监控机库周边环境。</w:t>
      </w:r>
    </w:p>
    <w:p w14:paraId="09BA89CA">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default" w:ascii="仿宋" w:hAnsi="仿宋" w:eastAsia="仿宋" w:cs="仿宋"/>
          <w:color w:val="000000"/>
          <w:spacing w:val="22"/>
          <w:sz w:val="30"/>
          <w:szCs w:val="30"/>
          <w:highlight w:val="none"/>
          <w:lang w:val="en-US" w:eastAsia="zh-CN"/>
        </w:rPr>
      </w:pPr>
      <w:r>
        <w:rPr>
          <w:rFonts w:hint="eastAsia" w:ascii="仿宋" w:hAnsi="仿宋" w:eastAsia="仿宋" w:cs="仿宋"/>
          <w:color w:val="000000"/>
          <w:spacing w:val="22"/>
          <w:sz w:val="30"/>
          <w:szCs w:val="30"/>
          <w:highlight w:val="none"/>
          <w:lang w:val="en-US" w:eastAsia="zh-CN"/>
        </w:rPr>
        <w:t>2.9 配套服务器</w:t>
      </w:r>
    </w:p>
    <w:p w14:paraId="6E16CDDD">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highlight w:val="none"/>
          <w:lang w:val="en-US" w:eastAsia="zh-CN"/>
        </w:rPr>
      </w:pPr>
      <w:r>
        <w:rPr>
          <w:rFonts w:hint="eastAsia" w:ascii="仿宋" w:hAnsi="仿宋" w:eastAsia="仿宋" w:cs="仿宋"/>
          <w:color w:val="000000"/>
          <w:spacing w:val="22"/>
          <w:sz w:val="30"/>
          <w:szCs w:val="30"/>
          <w:highlight w:val="none"/>
          <w:lang w:val="en-US" w:eastAsia="zh-CN"/>
        </w:rPr>
        <w:t>乙方提供的用于部署飞控和业务平台的服务器满足以下要求：</w:t>
      </w:r>
    </w:p>
    <w:p w14:paraId="4B891E38">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lang w:val="en-US" w:eastAsia="zh-CN"/>
        </w:rPr>
      </w:pPr>
      <w:r>
        <w:rPr>
          <w:rFonts w:hint="eastAsia" w:ascii="仿宋" w:hAnsi="仿宋" w:eastAsia="仿宋" w:cs="仿宋"/>
          <w:color w:val="000000"/>
          <w:spacing w:val="22"/>
          <w:sz w:val="30"/>
          <w:szCs w:val="30"/>
          <w:lang w:val="en-US" w:eastAsia="zh-CN"/>
        </w:rPr>
        <w:t>（1）所有设备部署完成后，需形成“边界防火墙防护+服务器安全加固+异地数据容灾”的完整安全体系，适配无人机空地一体化平台业务特性，满足网络安全保护基本要求。</w:t>
      </w:r>
    </w:p>
    <w:p w14:paraId="44597160">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lang w:val="en-US" w:eastAsia="zh-CN"/>
        </w:rPr>
      </w:pPr>
      <w:r>
        <w:rPr>
          <w:rFonts w:hint="eastAsia" w:ascii="仿宋" w:hAnsi="仿宋" w:eastAsia="仿宋" w:cs="仿宋"/>
          <w:color w:val="000000"/>
          <w:spacing w:val="22"/>
          <w:sz w:val="30"/>
          <w:szCs w:val="30"/>
          <w:lang w:val="en-US" w:eastAsia="zh-CN"/>
        </w:rPr>
        <w:t>（2）整套系统支持7×24小时不间断运行，可适配无人机常态化巡检、航拍作业、实时态势监控、AI不间断解析等业务场景。</w:t>
      </w:r>
    </w:p>
    <w:p w14:paraId="629E2E7F">
      <w:pPr>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688" w:firstLineChars="200"/>
        <w:jc w:val="left"/>
        <w:rPr>
          <w:rFonts w:hint="eastAsia" w:ascii="仿宋" w:hAnsi="仿宋" w:eastAsia="仿宋" w:cs="仿宋"/>
          <w:color w:val="000000"/>
          <w:spacing w:val="22"/>
          <w:sz w:val="30"/>
          <w:szCs w:val="30"/>
          <w:lang w:val="en-US" w:eastAsia="zh-CN"/>
        </w:rPr>
      </w:pPr>
      <w:r>
        <w:rPr>
          <w:rFonts w:hint="eastAsia" w:ascii="仿宋" w:hAnsi="仿宋" w:eastAsia="仿宋" w:cs="仿宋"/>
          <w:color w:val="000000"/>
          <w:spacing w:val="22"/>
          <w:sz w:val="30"/>
          <w:szCs w:val="30"/>
          <w:lang w:val="en-US" w:eastAsia="zh-CN"/>
        </w:rPr>
        <w:t>（3）所有安全日志（6个月）、运维日志（6个月）、备份记录可留存、可追溯、可导出，满足日常监管、项目审计、合规测评要求。</w:t>
      </w:r>
    </w:p>
    <w:p w14:paraId="72BECB5D">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after="0" w:line="560" w:lineRule="exact"/>
        <w:ind w:left="0" w:firstLine="688" w:firstLineChars="200"/>
        <w:textAlignment w:val="auto"/>
        <w:outlineLvl w:val="9"/>
        <w:rPr>
          <w:rFonts w:hint="default" w:ascii="仿宋" w:hAnsi="仿宋" w:eastAsia="仿宋" w:cs="仿宋"/>
          <w:spacing w:val="22"/>
          <w:sz w:val="30"/>
          <w:szCs w:val="30"/>
          <w:lang w:val="en-US" w:eastAsia="zh-CN"/>
        </w:rPr>
      </w:pPr>
      <w:r>
        <w:rPr>
          <w:rFonts w:hint="eastAsia" w:ascii="仿宋" w:hAnsi="仿宋" w:eastAsia="仿宋" w:cs="仿宋"/>
          <w:color w:val="000000"/>
          <w:spacing w:val="22"/>
          <w:sz w:val="30"/>
          <w:szCs w:val="30"/>
          <w:lang w:val="en-US" w:eastAsia="zh-CN"/>
        </w:rPr>
        <w:t>（4）设备具备良好扩展性，可适配后期无人机设备扩容、AI算法迭代、业务模块新增、数据量增长的升级需求。</w:t>
      </w:r>
    </w:p>
    <w:p w14:paraId="6A2FEFA3">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firstLine="602" w:firstLineChars="200"/>
        <w:textAlignment w:val="auto"/>
        <w:outlineLvl w:val="9"/>
        <w:rPr>
          <w:rFonts w:hint="eastAsia" w:ascii="仿宋" w:hAnsi="仿宋" w:eastAsia="仿宋" w:cs="仿宋"/>
          <w:b/>
          <w:bCs/>
          <w:snapToGrid w:val="0"/>
          <w:color w:val="000000"/>
          <w:kern w:val="0"/>
          <w:sz w:val="30"/>
          <w:szCs w:val="30"/>
          <w:lang w:val="en-US" w:eastAsia="zh-CN" w:bidi="ar-SA"/>
        </w:rPr>
      </w:pPr>
      <w:r>
        <w:rPr>
          <w:rFonts w:hint="eastAsia" w:ascii="仿宋" w:hAnsi="仿宋" w:eastAsia="仿宋" w:cs="仿宋"/>
          <w:b/>
          <w:bCs/>
          <w:snapToGrid w:val="0"/>
          <w:color w:val="000000"/>
          <w:kern w:val="0"/>
          <w:sz w:val="30"/>
          <w:szCs w:val="30"/>
          <w:lang w:val="en-US" w:eastAsia="zh-CN" w:bidi="ar-SA"/>
        </w:rPr>
        <w:t>三、配套机场核心硬件参数表</w:t>
      </w:r>
    </w:p>
    <w:tbl>
      <w:tblPr>
        <w:tblStyle w:val="14"/>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14:paraId="59D37DD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2FBCE54">
            <w:pPr>
              <w:spacing w:before="120" w:after="120" w:line="288" w:lineRule="auto"/>
              <w:ind w:left="0"/>
              <w:jc w:val="center"/>
            </w:pPr>
            <w:r>
              <w:rPr>
                <w:rFonts w:ascii="Arial" w:hAnsi="Arial" w:eastAsia="等线" w:cs="Arial"/>
                <w:sz w:val="22"/>
              </w:rPr>
              <w:t>分类</w:t>
            </w:r>
          </w:p>
        </w:tc>
        <w:tc>
          <w:tcPr>
            <w:tcW w:w="2070" w:type="dxa"/>
            <w:tcMar>
              <w:top w:w="60" w:type="dxa"/>
              <w:left w:w="120" w:type="dxa"/>
              <w:bottom w:w="30" w:type="dxa"/>
              <w:right w:w="120" w:type="dxa"/>
            </w:tcMar>
          </w:tcPr>
          <w:p w14:paraId="330FF8B3">
            <w:pPr>
              <w:spacing w:before="120" w:after="120" w:line="288" w:lineRule="auto"/>
              <w:ind w:left="0"/>
              <w:jc w:val="center"/>
            </w:pPr>
            <w:r>
              <w:rPr>
                <w:rFonts w:ascii="Arial" w:hAnsi="Arial" w:eastAsia="等线" w:cs="Arial"/>
                <w:sz w:val="22"/>
              </w:rPr>
              <w:t>参数项目</w:t>
            </w:r>
          </w:p>
        </w:tc>
        <w:tc>
          <w:tcPr>
            <w:tcW w:w="2070" w:type="dxa"/>
            <w:tcMar>
              <w:top w:w="60" w:type="dxa"/>
              <w:left w:w="120" w:type="dxa"/>
              <w:bottom w:w="30" w:type="dxa"/>
              <w:right w:w="120" w:type="dxa"/>
            </w:tcMar>
          </w:tcPr>
          <w:p w14:paraId="23A97E74">
            <w:pPr>
              <w:spacing w:before="120" w:after="120" w:line="288" w:lineRule="auto"/>
              <w:ind w:left="0"/>
              <w:jc w:val="center"/>
            </w:pPr>
            <w:r>
              <w:rPr>
                <w:rFonts w:ascii="Arial" w:hAnsi="Arial" w:eastAsia="等线" w:cs="Arial"/>
                <w:sz w:val="22"/>
              </w:rPr>
              <w:t>技术指标</w:t>
            </w:r>
          </w:p>
        </w:tc>
        <w:tc>
          <w:tcPr>
            <w:tcW w:w="2070" w:type="dxa"/>
            <w:tcMar>
              <w:top w:w="60" w:type="dxa"/>
              <w:left w:w="120" w:type="dxa"/>
              <w:bottom w:w="30" w:type="dxa"/>
              <w:right w:w="120" w:type="dxa"/>
            </w:tcMar>
          </w:tcPr>
          <w:p w14:paraId="0DDF53D1">
            <w:pPr>
              <w:spacing w:before="120" w:after="120" w:line="288" w:lineRule="auto"/>
              <w:ind w:left="0"/>
              <w:jc w:val="center"/>
            </w:pPr>
            <w:r>
              <w:rPr>
                <w:rFonts w:ascii="Arial" w:hAnsi="Arial" w:eastAsia="等线" w:cs="Arial"/>
                <w:sz w:val="22"/>
              </w:rPr>
              <w:t>选址/落地意义</w:t>
            </w:r>
          </w:p>
        </w:tc>
      </w:tr>
      <w:tr w14:paraId="2144090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restart"/>
            <w:tcMar>
              <w:top w:w="60" w:type="dxa"/>
              <w:left w:w="120" w:type="dxa"/>
              <w:bottom w:w="30" w:type="dxa"/>
              <w:right w:w="120" w:type="dxa"/>
            </w:tcMar>
          </w:tcPr>
          <w:p w14:paraId="4EB0BFA7">
            <w:pPr>
              <w:spacing w:before="120" w:after="120" w:line="288" w:lineRule="auto"/>
              <w:ind w:left="0"/>
              <w:jc w:val="center"/>
              <w:rPr>
                <w:rFonts w:ascii="Arial" w:hAnsi="Arial" w:eastAsia="等线" w:cs="Arial"/>
                <w:b/>
                <w:sz w:val="22"/>
              </w:rPr>
            </w:pPr>
          </w:p>
          <w:p w14:paraId="76F663AD">
            <w:pPr>
              <w:spacing w:before="120" w:after="120" w:line="288" w:lineRule="auto"/>
              <w:ind w:left="0"/>
              <w:jc w:val="center"/>
              <w:rPr>
                <w:rFonts w:ascii="Arial" w:hAnsi="Arial" w:eastAsia="等线" w:cs="Arial"/>
                <w:b/>
                <w:sz w:val="22"/>
              </w:rPr>
            </w:pPr>
          </w:p>
          <w:p w14:paraId="46CA3A48">
            <w:pPr>
              <w:spacing w:before="120" w:after="120" w:line="288" w:lineRule="auto"/>
              <w:ind w:left="0"/>
              <w:jc w:val="center"/>
              <w:rPr>
                <w:rFonts w:ascii="Arial" w:hAnsi="Arial" w:eastAsia="等线" w:cs="Arial"/>
                <w:b/>
                <w:sz w:val="22"/>
              </w:rPr>
            </w:pPr>
          </w:p>
          <w:p w14:paraId="0DD124CA">
            <w:pPr>
              <w:spacing w:before="120" w:after="120" w:line="288" w:lineRule="auto"/>
              <w:ind w:left="0"/>
              <w:jc w:val="center"/>
              <w:rPr>
                <w:rFonts w:ascii="Arial" w:hAnsi="Arial" w:eastAsia="等线" w:cs="Arial"/>
                <w:b/>
                <w:sz w:val="22"/>
              </w:rPr>
            </w:pPr>
          </w:p>
          <w:p w14:paraId="0554A27B">
            <w:pPr>
              <w:spacing w:before="120" w:after="120" w:line="288" w:lineRule="auto"/>
              <w:ind w:left="0"/>
              <w:jc w:val="center"/>
              <w:rPr>
                <w:rFonts w:ascii="Arial" w:hAnsi="Arial" w:eastAsia="等线" w:cs="Arial"/>
                <w:b/>
                <w:sz w:val="22"/>
              </w:rPr>
            </w:pPr>
          </w:p>
          <w:p w14:paraId="24DC08E1">
            <w:pPr>
              <w:spacing w:before="120" w:after="120" w:line="288" w:lineRule="auto"/>
              <w:ind w:left="0"/>
              <w:jc w:val="center"/>
            </w:pPr>
            <w:r>
              <w:rPr>
                <w:rFonts w:ascii="Arial" w:hAnsi="Arial" w:eastAsia="等线" w:cs="Arial"/>
                <w:b/>
                <w:sz w:val="22"/>
              </w:rPr>
              <w:t>机库物理尺寸</w:t>
            </w:r>
            <w:r>
              <w:rPr>
                <w:rFonts w:ascii="Arial" w:hAnsi="Arial" w:eastAsia="等线" w:cs="Arial"/>
                <w:b/>
                <w:sz w:val="22"/>
              </w:rPr>
              <w:br w:type="textWrapping"/>
            </w:r>
            <w:r>
              <w:rPr>
                <w:rFonts w:hint="eastAsia" w:eastAsia="等线" w:cs="Arial"/>
                <w:b/>
                <w:sz w:val="22"/>
                <w:lang w:eastAsia="zh-CN"/>
              </w:rPr>
              <w:t>（</w:t>
            </w:r>
            <w:r>
              <w:rPr>
                <w:rFonts w:ascii="Arial" w:hAnsi="Arial" w:eastAsia="等线" w:cs="Arial"/>
                <w:b/>
                <w:sz w:val="22"/>
              </w:rPr>
              <w:t>场地依据</w:t>
            </w:r>
            <w:r>
              <w:rPr>
                <w:rFonts w:hint="eastAsia" w:eastAsia="等线" w:cs="Arial"/>
                <w:b/>
                <w:sz w:val="22"/>
                <w:lang w:eastAsia="zh-CN"/>
              </w:rPr>
              <w:t>）</w:t>
            </w:r>
          </w:p>
        </w:tc>
        <w:tc>
          <w:tcPr>
            <w:tcW w:w="2070" w:type="dxa"/>
            <w:tcMar>
              <w:top w:w="60" w:type="dxa"/>
              <w:left w:w="120" w:type="dxa"/>
              <w:bottom w:w="30" w:type="dxa"/>
              <w:right w:w="120" w:type="dxa"/>
            </w:tcMar>
          </w:tcPr>
          <w:p w14:paraId="0BB0FDB2">
            <w:pPr>
              <w:spacing w:before="120" w:after="120" w:line="288" w:lineRule="auto"/>
              <w:ind w:left="0"/>
              <w:jc w:val="center"/>
            </w:pPr>
            <w:r>
              <w:rPr>
                <w:rFonts w:ascii="Arial" w:hAnsi="Arial" w:eastAsia="等线" w:cs="Arial"/>
                <w:sz w:val="22"/>
              </w:rPr>
              <w:t>闭合外形尺寸</w:t>
            </w:r>
          </w:p>
        </w:tc>
        <w:tc>
          <w:tcPr>
            <w:tcW w:w="2070" w:type="dxa"/>
            <w:tcMar>
              <w:top w:w="60" w:type="dxa"/>
              <w:left w:w="120" w:type="dxa"/>
              <w:bottom w:w="30" w:type="dxa"/>
              <w:right w:w="120" w:type="dxa"/>
            </w:tcMar>
          </w:tcPr>
          <w:p w14:paraId="68E5726F">
            <w:pPr>
              <w:spacing w:before="120" w:after="120" w:line="288" w:lineRule="auto"/>
              <w:ind w:left="0"/>
              <w:jc w:val="center"/>
            </w:pPr>
            <w:r>
              <w:rPr>
                <w:rFonts w:hint="eastAsia" w:ascii="Arial" w:hAnsi="Arial" w:eastAsia="等线" w:cs="Arial"/>
                <w:sz w:val="22"/>
              </w:rPr>
              <w:t>≤长 650 毫米，宽 750 毫米，高 800 毫米</w:t>
            </w:r>
          </w:p>
        </w:tc>
        <w:tc>
          <w:tcPr>
            <w:tcW w:w="2070" w:type="dxa"/>
            <w:tcMar>
              <w:top w:w="60" w:type="dxa"/>
              <w:left w:w="120" w:type="dxa"/>
              <w:bottom w:w="30" w:type="dxa"/>
              <w:right w:w="120" w:type="dxa"/>
            </w:tcMar>
          </w:tcPr>
          <w:p w14:paraId="64353DFD">
            <w:pPr>
              <w:spacing w:before="120" w:after="120" w:line="288" w:lineRule="auto"/>
              <w:ind w:left="0"/>
              <w:jc w:val="center"/>
            </w:pPr>
            <w:r>
              <w:rPr>
                <w:rFonts w:ascii="Arial" w:hAnsi="Arial" w:eastAsia="等线" w:cs="Arial"/>
                <w:sz w:val="22"/>
              </w:rPr>
              <w:t>设备收纳占地尺寸，满足基础摆放需求</w:t>
            </w:r>
          </w:p>
        </w:tc>
      </w:tr>
      <w:tr w14:paraId="35DF20A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7052328C">
            <w:pPr>
              <w:spacing w:before="120" w:after="120" w:line="288" w:lineRule="auto"/>
              <w:ind w:left="0"/>
              <w:jc w:val="center"/>
            </w:pPr>
          </w:p>
        </w:tc>
        <w:tc>
          <w:tcPr>
            <w:tcW w:w="2070" w:type="dxa"/>
            <w:tcMar>
              <w:top w:w="60" w:type="dxa"/>
              <w:left w:w="120" w:type="dxa"/>
              <w:bottom w:w="30" w:type="dxa"/>
              <w:right w:w="120" w:type="dxa"/>
            </w:tcMar>
          </w:tcPr>
          <w:p w14:paraId="59AB5641">
            <w:pPr>
              <w:spacing w:before="120" w:after="120" w:line="288" w:lineRule="auto"/>
              <w:ind w:left="0"/>
              <w:jc w:val="center"/>
            </w:pPr>
            <w:r>
              <w:rPr>
                <w:rFonts w:ascii="Arial" w:hAnsi="Arial" w:eastAsia="等线" w:cs="Arial"/>
                <w:sz w:val="22"/>
              </w:rPr>
              <w:t>开盖作业尺寸</w:t>
            </w:r>
          </w:p>
        </w:tc>
        <w:tc>
          <w:tcPr>
            <w:tcW w:w="2070" w:type="dxa"/>
            <w:tcMar>
              <w:top w:w="60" w:type="dxa"/>
              <w:left w:w="120" w:type="dxa"/>
              <w:bottom w:w="30" w:type="dxa"/>
              <w:right w:w="120" w:type="dxa"/>
            </w:tcMar>
          </w:tcPr>
          <w:p w14:paraId="1DD6713E">
            <w:pPr>
              <w:spacing w:before="120" w:after="120" w:line="288" w:lineRule="auto"/>
              <w:ind w:left="0"/>
              <w:jc w:val="center"/>
            </w:pPr>
            <w:r>
              <w:rPr>
                <w:rFonts w:hint="eastAsia" w:ascii="Arial" w:hAnsi="Arial" w:eastAsia="等线" w:cs="Arial"/>
                <w:sz w:val="22"/>
              </w:rPr>
              <w:t>≤长 1760 毫米，宽 745 毫米，高 485 毫米</w:t>
            </w:r>
          </w:p>
        </w:tc>
        <w:tc>
          <w:tcPr>
            <w:tcW w:w="2070" w:type="dxa"/>
            <w:tcMar>
              <w:top w:w="60" w:type="dxa"/>
              <w:left w:w="120" w:type="dxa"/>
              <w:bottom w:w="30" w:type="dxa"/>
              <w:right w:w="120" w:type="dxa"/>
            </w:tcMar>
          </w:tcPr>
          <w:p w14:paraId="07EC57DF">
            <w:pPr>
              <w:spacing w:before="120" w:after="120" w:line="288" w:lineRule="auto"/>
              <w:ind w:left="0"/>
              <w:jc w:val="center"/>
            </w:pPr>
            <w:r>
              <w:rPr>
                <w:rFonts w:ascii="Arial" w:hAnsi="Arial" w:eastAsia="等线" w:cs="Arial"/>
                <w:sz w:val="22"/>
              </w:rPr>
              <w:t>起降最大展开尺寸，规避周边遮挡</w:t>
            </w:r>
          </w:p>
        </w:tc>
      </w:tr>
      <w:tr w14:paraId="7CBDAC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069CA002">
            <w:pPr>
              <w:spacing w:before="120" w:after="120" w:line="288" w:lineRule="auto"/>
              <w:ind w:left="0"/>
              <w:jc w:val="center"/>
            </w:pPr>
          </w:p>
        </w:tc>
        <w:tc>
          <w:tcPr>
            <w:tcW w:w="2070" w:type="dxa"/>
            <w:tcMar>
              <w:top w:w="60" w:type="dxa"/>
              <w:left w:w="120" w:type="dxa"/>
              <w:bottom w:w="30" w:type="dxa"/>
              <w:right w:w="120" w:type="dxa"/>
            </w:tcMar>
          </w:tcPr>
          <w:p w14:paraId="12A4F4B6">
            <w:pPr>
              <w:spacing w:before="120" w:after="120" w:line="288" w:lineRule="auto"/>
              <w:ind w:left="0"/>
              <w:jc w:val="center"/>
            </w:pPr>
            <w:r>
              <w:rPr>
                <w:rFonts w:ascii="Arial" w:hAnsi="Arial" w:eastAsia="等线" w:cs="Arial"/>
                <w:sz w:val="22"/>
              </w:rPr>
              <w:t>整机重量</w:t>
            </w:r>
          </w:p>
        </w:tc>
        <w:tc>
          <w:tcPr>
            <w:tcW w:w="2070" w:type="dxa"/>
            <w:tcMar>
              <w:top w:w="60" w:type="dxa"/>
              <w:left w:w="120" w:type="dxa"/>
              <w:bottom w:w="30" w:type="dxa"/>
              <w:right w:w="120" w:type="dxa"/>
            </w:tcMar>
          </w:tcPr>
          <w:p w14:paraId="6DF39E8D">
            <w:pPr>
              <w:spacing w:before="120" w:after="120" w:line="288" w:lineRule="auto"/>
              <w:ind w:left="0"/>
              <w:jc w:val="center"/>
            </w:pPr>
            <w:r>
              <w:rPr>
                <w:rFonts w:hint="eastAsia" w:ascii="Arial" w:hAnsi="Arial" w:eastAsia="等线" w:cs="Arial"/>
                <w:sz w:val="22"/>
              </w:rPr>
              <w:t>≤</w:t>
            </w:r>
            <w:r>
              <w:rPr>
                <w:rFonts w:ascii="Arial" w:hAnsi="Arial" w:eastAsia="等线" w:cs="Arial"/>
                <w:sz w:val="22"/>
              </w:rPr>
              <w:t>55kg（不含无人机）</w:t>
            </w:r>
          </w:p>
        </w:tc>
        <w:tc>
          <w:tcPr>
            <w:tcW w:w="2070" w:type="dxa"/>
            <w:tcMar>
              <w:top w:w="60" w:type="dxa"/>
              <w:left w:w="120" w:type="dxa"/>
              <w:bottom w:w="30" w:type="dxa"/>
              <w:right w:w="120" w:type="dxa"/>
            </w:tcMar>
          </w:tcPr>
          <w:p w14:paraId="2CA96A79">
            <w:pPr>
              <w:spacing w:before="120" w:after="120" w:line="288" w:lineRule="auto"/>
              <w:ind w:left="0"/>
              <w:jc w:val="center"/>
            </w:pPr>
            <w:r>
              <w:rPr>
                <w:rFonts w:ascii="Arial" w:hAnsi="Arial" w:eastAsia="等线" w:cs="Arial"/>
                <w:sz w:val="22"/>
              </w:rPr>
              <w:t>楼顶/地面安装承重依据</w:t>
            </w:r>
          </w:p>
        </w:tc>
      </w:tr>
      <w:tr w14:paraId="43FD051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1CBB32E7">
            <w:pPr>
              <w:spacing w:before="120" w:after="120" w:line="288" w:lineRule="auto"/>
              <w:ind w:left="0"/>
              <w:jc w:val="center"/>
            </w:pPr>
          </w:p>
        </w:tc>
        <w:tc>
          <w:tcPr>
            <w:tcW w:w="2070" w:type="dxa"/>
            <w:tcMar>
              <w:top w:w="60" w:type="dxa"/>
              <w:left w:w="120" w:type="dxa"/>
              <w:bottom w:w="30" w:type="dxa"/>
              <w:right w:w="120" w:type="dxa"/>
            </w:tcMar>
          </w:tcPr>
          <w:p w14:paraId="153DF6AA">
            <w:pPr>
              <w:spacing w:before="120" w:after="120" w:line="288" w:lineRule="auto"/>
              <w:ind w:left="0"/>
              <w:jc w:val="center"/>
            </w:pPr>
            <w:r>
              <w:rPr>
                <w:rFonts w:ascii="Arial" w:hAnsi="Arial" w:eastAsia="等线" w:cs="Arial"/>
                <w:sz w:val="22"/>
              </w:rPr>
              <w:t>场地安装要求</w:t>
            </w:r>
          </w:p>
        </w:tc>
        <w:tc>
          <w:tcPr>
            <w:tcW w:w="2070" w:type="dxa"/>
            <w:tcMar>
              <w:top w:w="60" w:type="dxa"/>
              <w:left w:w="120" w:type="dxa"/>
              <w:bottom w:w="30" w:type="dxa"/>
              <w:right w:w="120" w:type="dxa"/>
            </w:tcMar>
          </w:tcPr>
          <w:p w14:paraId="378EA012">
            <w:pPr>
              <w:spacing w:before="120" w:after="120" w:line="288" w:lineRule="auto"/>
              <w:ind w:left="0"/>
              <w:jc w:val="center"/>
            </w:pPr>
            <w:r>
              <w:rPr>
                <w:rFonts w:ascii="Arial" w:hAnsi="Arial" w:eastAsia="等线" w:cs="Arial"/>
                <w:sz w:val="22"/>
              </w:rPr>
              <w:t>最低4m×4m硬化场地，推荐5m×5m安全区；地面平整度≤±3mm/m</w:t>
            </w:r>
          </w:p>
        </w:tc>
        <w:tc>
          <w:tcPr>
            <w:tcW w:w="2070" w:type="dxa"/>
            <w:tcMar>
              <w:top w:w="60" w:type="dxa"/>
              <w:left w:w="120" w:type="dxa"/>
              <w:bottom w:w="30" w:type="dxa"/>
              <w:right w:w="120" w:type="dxa"/>
            </w:tcMar>
          </w:tcPr>
          <w:p w14:paraId="3EB5576B">
            <w:pPr>
              <w:spacing w:before="120" w:after="120" w:line="288" w:lineRule="auto"/>
              <w:ind w:left="0"/>
              <w:jc w:val="center"/>
            </w:pPr>
            <w:r>
              <w:rPr>
                <w:rFonts w:ascii="Arial" w:hAnsi="Arial" w:eastAsia="等线" w:cs="Arial"/>
                <w:sz w:val="22"/>
              </w:rPr>
              <w:t>本项目选址核心场地硬性指标</w:t>
            </w:r>
          </w:p>
        </w:tc>
      </w:tr>
      <w:tr w14:paraId="0023BC9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restart"/>
            <w:tcMar>
              <w:top w:w="60" w:type="dxa"/>
              <w:left w:w="120" w:type="dxa"/>
              <w:bottom w:w="30" w:type="dxa"/>
              <w:right w:w="120" w:type="dxa"/>
            </w:tcMar>
          </w:tcPr>
          <w:p w14:paraId="5B4E2739">
            <w:pPr>
              <w:spacing w:before="120" w:after="120" w:line="288" w:lineRule="auto"/>
              <w:ind w:left="0"/>
              <w:jc w:val="center"/>
            </w:pPr>
            <w:r>
              <w:rPr>
                <w:rFonts w:ascii="Arial" w:hAnsi="Arial" w:eastAsia="等线" w:cs="Arial"/>
                <w:b/>
                <w:sz w:val="22"/>
              </w:rPr>
              <w:t>供电与功耗</w:t>
            </w:r>
            <w:r>
              <w:rPr>
                <w:rFonts w:ascii="Arial" w:hAnsi="Arial" w:eastAsia="等线" w:cs="Arial"/>
                <w:b/>
                <w:sz w:val="22"/>
              </w:rPr>
              <w:br w:type="textWrapping"/>
            </w:r>
            <w:r>
              <w:rPr>
                <w:rFonts w:hint="eastAsia" w:eastAsia="等线" w:cs="Arial"/>
                <w:b/>
                <w:sz w:val="22"/>
                <w:lang w:eastAsia="zh-CN"/>
              </w:rPr>
              <w:t>（</w:t>
            </w:r>
            <w:r>
              <w:rPr>
                <w:rFonts w:ascii="Arial" w:hAnsi="Arial" w:eastAsia="等线" w:cs="Arial"/>
                <w:b/>
                <w:sz w:val="22"/>
              </w:rPr>
              <w:t>电力依据</w:t>
            </w:r>
            <w:r>
              <w:rPr>
                <w:rFonts w:hint="eastAsia" w:eastAsia="等线" w:cs="Arial"/>
                <w:b/>
                <w:sz w:val="22"/>
                <w:lang w:eastAsia="zh-CN"/>
              </w:rPr>
              <w:t>）</w:t>
            </w:r>
          </w:p>
        </w:tc>
        <w:tc>
          <w:tcPr>
            <w:tcW w:w="2070" w:type="dxa"/>
            <w:tcMar>
              <w:top w:w="60" w:type="dxa"/>
              <w:left w:w="120" w:type="dxa"/>
              <w:bottom w:w="30" w:type="dxa"/>
              <w:right w:w="120" w:type="dxa"/>
            </w:tcMar>
          </w:tcPr>
          <w:p w14:paraId="29864635">
            <w:pPr>
              <w:spacing w:before="120" w:after="120" w:line="288" w:lineRule="auto"/>
              <w:ind w:left="0"/>
              <w:jc w:val="center"/>
            </w:pPr>
            <w:r>
              <w:rPr>
                <w:rFonts w:ascii="Arial" w:hAnsi="Arial" w:eastAsia="等线" w:cs="Arial"/>
                <w:sz w:val="22"/>
              </w:rPr>
              <w:t>输入电压</w:t>
            </w:r>
          </w:p>
        </w:tc>
        <w:tc>
          <w:tcPr>
            <w:tcW w:w="2070" w:type="dxa"/>
            <w:tcMar>
              <w:top w:w="60" w:type="dxa"/>
              <w:left w:w="120" w:type="dxa"/>
              <w:bottom w:w="30" w:type="dxa"/>
              <w:right w:w="120" w:type="dxa"/>
            </w:tcMar>
          </w:tcPr>
          <w:p w14:paraId="779F7516">
            <w:pPr>
              <w:spacing w:before="120" w:after="120" w:line="288" w:lineRule="auto"/>
              <w:ind w:left="0"/>
              <w:jc w:val="center"/>
            </w:pPr>
            <w:r>
              <w:rPr>
                <w:rFonts w:ascii="Arial" w:hAnsi="Arial" w:eastAsia="等线" w:cs="Arial"/>
                <w:sz w:val="22"/>
              </w:rPr>
              <w:t>AC 100–240V 50/60Hz 市电</w:t>
            </w:r>
          </w:p>
        </w:tc>
        <w:tc>
          <w:tcPr>
            <w:tcW w:w="2070" w:type="dxa"/>
            <w:tcMar>
              <w:top w:w="60" w:type="dxa"/>
              <w:left w:w="120" w:type="dxa"/>
              <w:bottom w:w="30" w:type="dxa"/>
              <w:right w:w="120" w:type="dxa"/>
            </w:tcMar>
          </w:tcPr>
          <w:p w14:paraId="7D40314C">
            <w:pPr>
              <w:spacing w:before="120" w:after="120" w:line="288" w:lineRule="auto"/>
              <w:ind w:left="0"/>
              <w:jc w:val="center"/>
            </w:pPr>
            <w:r>
              <w:rPr>
                <w:rFonts w:ascii="Arial" w:hAnsi="Arial" w:eastAsia="等线" w:cs="Arial"/>
                <w:sz w:val="22"/>
              </w:rPr>
              <w:t>需接入稳定220V市政交流电</w:t>
            </w:r>
          </w:p>
        </w:tc>
      </w:tr>
      <w:tr w14:paraId="1673B43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008C6996">
            <w:pPr>
              <w:spacing w:before="120" w:after="120" w:line="288" w:lineRule="auto"/>
              <w:ind w:left="0"/>
              <w:jc w:val="center"/>
            </w:pPr>
          </w:p>
        </w:tc>
        <w:tc>
          <w:tcPr>
            <w:tcW w:w="2070" w:type="dxa"/>
            <w:tcMar>
              <w:top w:w="60" w:type="dxa"/>
              <w:left w:w="120" w:type="dxa"/>
              <w:bottom w:w="30" w:type="dxa"/>
              <w:right w:w="120" w:type="dxa"/>
            </w:tcMar>
          </w:tcPr>
          <w:p w14:paraId="1448A700">
            <w:pPr>
              <w:spacing w:before="120" w:after="120" w:line="288" w:lineRule="auto"/>
              <w:ind w:left="0"/>
              <w:jc w:val="center"/>
            </w:pPr>
            <w:r>
              <w:rPr>
                <w:rFonts w:ascii="Arial" w:hAnsi="Arial" w:eastAsia="等线" w:cs="Arial"/>
                <w:sz w:val="22"/>
              </w:rPr>
              <w:t>整机峰值功率</w:t>
            </w:r>
          </w:p>
        </w:tc>
        <w:tc>
          <w:tcPr>
            <w:tcW w:w="2070" w:type="dxa"/>
            <w:tcMar>
              <w:top w:w="60" w:type="dxa"/>
              <w:left w:w="120" w:type="dxa"/>
              <w:bottom w:w="30" w:type="dxa"/>
              <w:right w:w="120" w:type="dxa"/>
            </w:tcMar>
          </w:tcPr>
          <w:p w14:paraId="1BFAD28D">
            <w:pPr>
              <w:spacing w:before="120" w:after="120" w:line="288" w:lineRule="auto"/>
              <w:ind w:left="0"/>
              <w:jc w:val="center"/>
            </w:pPr>
            <w:r>
              <w:rPr>
                <w:rFonts w:ascii="Arial" w:hAnsi="Arial" w:eastAsia="等线" w:cs="Arial"/>
                <w:sz w:val="22"/>
              </w:rPr>
              <w:t>800W（充电+恒温+通讯满载）</w:t>
            </w:r>
          </w:p>
        </w:tc>
        <w:tc>
          <w:tcPr>
            <w:tcW w:w="2070" w:type="dxa"/>
            <w:tcMar>
              <w:top w:w="60" w:type="dxa"/>
              <w:left w:w="120" w:type="dxa"/>
              <w:bottom w:w="30" w:type="dxa"/>
              <w:right w:w="120" w:type="dxa"/>
            </w:tcMar>
          </w:tcPr>
          <w:p w14:paraId="4E70CD1B">
            <w:pPr>
              <w:spacing w:before="120" w:after="120" w:line="288" w:lineRule="auto"/>
              <w:ind w:left="0"/>
              <w:jc w:val="center"/>
            </w:pPr>
            <w:r>
              <w:rPr>
                <w:rFonts w:ascii="Arial" w:hAnsi="Arial" w:eastAsia="等线" w:cs="Arial"/>
                <w:sz w:val="22"/>
              </w:rPr>
              <w:t>配电功率设计依据</w:t>
            </w:r>
          </w:p>
        </w:tc>
      </w:tr>
      <w:tr w14:paraId="5964190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41AB9AEC">
            <w:pPr>
              <w:spacing w:before="120" w:after="120" w:line="288" w:lineRule="auto"/>
              <w:ind w:left="0"/>
              <w:jc w:val="center"/>
            </w:pPr>
          </w:p>
        </w:tc>
        <w:tc>
          <w:tcPr>
            <w:tcW w:w="2070" w:type="dxa"/>
            <w:tcMar>
              <w:top w:w="60" w:type="dxa"/>
              <w:left w:w="120" w:type="dxa"/>
              <w:bottom w:w="30" w:type="dxa"/>
              <w:right w:w="120" w:type="dxa"/>
            </w:tcMar>
          </w:tcPr>
          <w:p w14:paraId="2B954D4B">
            <w:pPr>
              <w:spacing w:before="120" w:after="120" w:line="288" w:lineRule="auto"/>
              <w:ind w:left="0"/>
              <w:jc w:val="center"/>
            </w:pPr>
            <w:r>
              <w:rPr>
                <w:rFonts w:ascii="Arial" w:hAnsi="Arial" w:eastAsia="等线" w:cs="Arial"/>
                <w:sz w:val="22"/>
              </w:rPr>
              <w:t>内置备用电池</w:t>
            </w:r>
          </w:p>
        </w:tc>
        <w:tc>
          <w:tcPr>
            <w:tcW w:w="2070" w:type="dxa"/>
            <w:tcMar>
              <w:top w:w="60" w:type="dxa"/>
              <w:left w:w="120" w:type="dxa"/>
              <w:bottom w:w="30" w:type="dxa"/>
              <w:right w:w="120" w:type="dxa"/>
            </w:tcMar>
          </w:tcPr>
          <w:p w14:paraId="04C08953">
            <w:pPr>
              <w:spacing w:before="120" w:after="120" w:line="288" w:lineRule="auto"/>
              <w:ind w:left="0"/>
              <w:jc w:val="center"/>
            </w:pPr>
            <w:r>
              <w:rPr>
                <w:rFonts w:ascii="Arial" w:hAnsi="Arial" w:eastAsia="等线" w:cs="Arial"/>
                <w:sz w:val="22"/>
              </w:rPr>
              <w:t>12V/12Ah，断电待机≥4小时</w:t>
            </w:r>
          </w:p>
        </w:tc>
        <w:tc>
          <w:tcPr>
            <w:tcW w:w="2070" w:type="dxa"/>
            <w:tcMar>
              <w:top w:w="60" w:type="dxa"/>
              <w:left w:w="120" w:type="dxa"/>
              <w:bottom w:w="30" w:type="dxa"/>
              <w:right w:w="120" w:type="dxa"/>
            </w:tcMar>
          </w:tcPr>
          <w:p w14:paraId="6CC61D11">
            <w:pPr>
              <w:spacing w:before="120" w:after="120" w:line="288" w:lineRule="auto"/>
              <w:ind w:left="0"/>
              <w:jc w:val="center"/>
            </w:pPr>
            <w:r>
              <w:rPr>
                <w:rFonts w:ascii="Arial" w:hAnsi="Arial" w:eastAsia="等线" w:cs="Arial"/>
                <w:sz w:val="22"/>
              </w:rPr>
              <w:t>仅支持待机，</w:t>
            </w:r>
            <w:r>
              <w:rPr>
                <w:rFonts w:ascii="Arial" w:hAnsi="Arial" w:eastAsia="等线" w:cs="Arial"/>
                <w:b/>
                <w:sz w:val="22"/>
              </w:rPr>
              <w:t>不可飞行、不可充电</w:t>
            </w:r>
            <w:r>
              <w:rPr>
                <w:rFonts w:ascii="Arial" w:hAnsi="Arial" w:eastAsia="等线" w:cs="Arial"/>
                <w:sz w:val="22"/>
              </w:rPr>
              <w:t>，必须常供电</w:t>
            </w:r>
          </w:p>
        </w:tc>
      </w:tr>
      <w:tr w14:paraId="126076A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4D4FB37C">
            <w:pPr>
              <w:spacing w:before="120" w:after="120" w:line="288" w:lineRule="auto"/>
              <w:ind w:left="0"/>
              <w:jc w:val="center"/>
            </w:pPr>
          </w:p>
        </w:tc>
        <w:tc>
          <w:tcPr>
            <w:tcW w:w="2070" w:type="dxa"/>
            <w:tcMar>
              <w:top w:w="60" w:type="dxa"/>
              <w:left w:w="120" w:type="dxa"/>
              <w:bottom w:w="30" w:type="dxa"/>
              <w:right w:w="120" w:type="dxa"/>
            </w:tcMar>
          </w:tcPr>
          <w:p w14:paraId="0E01F147">
            <w:pPr>
              <w:spacing w:before="120" w:after="120" w:line="288" w:lineRule="auto"/>
              <w:ind w:left="0"/>
              <w:jc w:val="center"/>
            </w:pPr>
            <w:r>
              <w:rPr>
                <w:rFonts w:ascii="Arial" w:hAnsi="Arial" w:eastAsia="等线" w:cs="Arial"/>
                <w:sz w:val="22"/>
              </w:rPr>
              <w:t>快充时长</w:t>
            </w:r>
          </w:p>
        </w:tc>
        <w:tc>
          <w:tcPr>
            <w:tcW w:w="2070" w:type="dxa"/>
            <w:tcMar>
              <w:top w:w="60" w:type="dxa"/>
              <w:left w:w="120" w:type="dxa"/>
              <w:bottom w:w="30" w:type="dxa"/>
              <w:right w:w="120" w:type="dxa"/>
            </w:tcMar>
          </w:tcPr>
          <w:p w14:paraId="2B35499B">
            <w:pPr>
              <w:spacing w:before="120" w:after="120" w:line="288" w:lineRule="auto"/>
              <w:ind w:left="0"/>
              <w:jc w:val="center"/>
            </w:pPr>
            <w:r>
              <w:rPr>
                <w:rFonts w:ascii="Arial" w:hAnsi="Arial" w:eastAsia="等线" w:cs="Arial"/>
                <w:sz w:val="22"/>
              </w:rPr>
              <w:t>15%→95%电量仅需27分钟</w:t>
            </w:r>
          </w:p>
        </w:tc>
        <w:tc>
          <w:tcPr>
            <w:tcW w:w="2070" w:type="dxa"/>
            <w:tcMar>
              <w:top w:w="60" w:type="dxa"/>
              <w:left w:w="120" w:type="dxa"/>
              <w:bottom w:w="30" w:type="dxa"/>
              <w:right w:w="120" w:type="dxa"/>
            </w:tcMar>
          </w:tcPr>
          <w:p w14:paraId="25295FA4">
            <w:pPr>
              <w:spacing w:before="120" w:after="120" w:line="288" w:lineRule="auto"/>
              <w:ind w:left="0"/>
              <w:jc w:val="center"/>
            </w:pPr>
            <w:r>
              <w:rPr>
                <w:rFonts w:ascii="Arial" w:hAnsi="Arial" w:eastAsia="等线" w:cs="Arial"/>
                <w:sz w:val="22"/>
              </w:rPr>
              <w:t>支撑高频次每日多轮巡检</w:t>
            </w:r>
          </w:p>
        </w:tc>
      </w:tr>
      <w:tr w14:paraId="64077C7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restart"/>
            <w:tcMar>
              <w:top w:w="60" w:type="dxa"/>
              <w:left w:w="120" w:type="dxa"/>
              <w:bottom w:w="30" w:type="dxa"/>
              <w:right w:w="120" w:type="dxa"/>
            </w:tcMar>
          </w:tcPr>
          <w:p w14:paraId="36F94760">
            <w:pPr>
              <w:spacing w:before="120" w:after="120" w:line="288" w:lineRule="auto"/>
              <w:ind w:left="0"/>
              <w:jc w:val="center"/>
              <w:rPr>
                <w:rFonts w:ascii="Arial" w:hAnsi="Arial" w:eastAsia="等线" w:cs="Arial"/>
                <w:b/>
                <w:sz w:val="22"/>
              </w:rPr>
            </w:pPr>
          </w:p>
          <w:p w14:paraId="30A9EF97">
            <w:pPr>
              <w:spacing w:before="120" w:after="120" w:line="288" w:lineRule="auto"/>
              <w:ind w:left="0"/>
              <w:jc w:val="center"/>
              <w:rPr>
                <w:rFonts w:ascii="Arial" w:hAnsi="Arial" w:eastAsia="等线" w:cs="Arial"/>
                <w:b/>
                <w:sz w:val="22"/>
              </w:rPr>
            </w:pPr>
          </w:p>
          <w:p w14:paraId="7541C138">
            <w:pPr>
              <w:spacing w:before="120" w:after="120" w:line="288" w:lineRule="auto"/>
              <w:ind w:left="0"/>
              <w:jc w:val="center"/>
              <w:rPr>
                <w:rFonts w:ascii="Arial" w:hAnsi="Arial" w:eastAsia="等线" w:cs="Arial"/>
                <w:b/>
                <w:sz w:val="22"/>
              </w:rPr>
            </w:pPr>
          </w:p>
          <w:p w14:paraId="64ADEB33">
            <w:pPr>
              <w:spacing w:before="120" w:after="120" w:line="288" w:lineRule="auto"/>
              <w:ind w:left="0"/>
              <w:jc w:val="center"/>
              <w:rPr>
                <w:rFonts w:ascii="Arial" w:hAnsi="Arial" w:eastAsia="等线" w:cs="Arial"/>
                <w:b/>
                <w:sz w:val="22"/>
              </w:rPr>
            </w:pPr>
          </w:p>
          <w:p w14:paraId="55BA12C6">
            <w:pPr>
              <w:spacing w:before="120" w:after="120" w:line="288" w:lineRule="auto"/>
              <w:ind w:left="0"/>
              <w:jc w:val="center"/>
              <w:rPr>
                <w:rFonts w:ascii="Arial" w:hAnsi="Arial" w:eastAsia="等线" w:cs="Arial"/>
                <w:b/>
                <w:sz w:val="22"/>
              </w:rPr>
            </w:pPr>
          </w:p>
          <w:p w14:paraId="7A223FAA">
            <w:pPr>
              <w:spacing w:before="120" w:after="120" w:line="288" w:lineRule="auto"/>
              <w:ind w:left="0"/>
              <w:jc w:val="center"/>
            </w:pPr>
            <w:r>
              <w:rPr>
                <w:rFonts w:ascii="Arial" w:hAnsi="Arial" w:eastAsia="等线" w:cs="Arial"/>
                <w:b/>
                <w:sz w:val="22"/>
              </w:rPr>
              <w:t>环境适应性</w:t>
            </w:r>
            <w:r>
              <w:rPr>
                <w:rFonts w:ascii="Arial" w:hAnsi="Arial" w:eastAsia="等线" w:cs="Arial"/>
                <w:b/>
                <w:sz w:val="22"/>
              </w:rPr>
              <w:br w:type="textWrapping"/>
            </w:r>
            <w:r>
              <w:rPr>
                <w:rFonts w:hint="eastAsia" w:eastAsia="等线" w:cs="Arial"/>
                <w:b/>
                <w:sz w:val="22"/>
                <w:lang w:eastAsia="zh-CN"/>
              </w:rPr>
              <w:t>（</w:t>
            </w:r>
            <w:r>
              <w:rPr>
                <w:rFonts w:ascii="Arial" w:hAnsi="Arial" w:eastAsia="等线" w:cs="Arial"/>
                <w:b/>
                <w:sz w:val="22"/>
              </w:rPr>
              <w:t>珠海气候适配</w:t>
            </w:r>
            <w:r>
              <w:rPr>
                <w:rFonts w:hint="eastAsia" w:eastAsia="等线" w:cs="Arial"/>
                <w:b/>
                <w:sz w:val="22"/>
                <w:lang w:eastAsia="zh-CN"/>
              </w:rPr>
              <w:t>）</w:t>
            </w:r>
          </w:p>
        </w:tc>
        <w:tc>
          <w:tcPr>
            <w:tcW w:w="2070" w:type="dxa"/>
            <w:tcMar>
              <w:top w:w="60" w:type="dxa"/>
              <w:left w:w="120" w:type="dxa"/>
              <w:bottom w:w="30" w:type="dxa"/>
              <w:right w:w="120" w:type="dxa"/>
            </w:tcMar>
          </w:tcPr>
          <w:p w14:paraId="54B7D9F2">
            <w:pPr>
              <w:spacing w:before="120" w:after="120" w:line="288" w:lineRule="auto"/>
              <w:ind w:left="0"/>
              <w:jc w:val="center"/>
            </w:pPr>
            <w:r>
              <w:rPr>
                <w:rFonts w:ascii="Arial" w:hAnsi="Arial" w:eastAsia="等线" w:cs="Arial"/>
                <w:sz w:val="22"/>
              </w:rPr>
              <w:t>整机防护等级</w:t>
            </w:r>
          </w:p>
        </w:tc>
        <w:tc>
          <w:tcPr>
            <w:tcW w:w="2070" w:type="dxa"/>
            <w:tcMar>
              <w:top w:w="60" w:type="dxa"/>
              <w:left w:w="120" w:type="dxa"/>
              <w:bottom w:w="30" w:type="dxa"/>
              <w:right w:w="120" w:type="dxa"/>
            </w:tcMar>
          </w:tcPr>
          <w:p w14:paraId="094E9F54">
            <w:pPr>
              <w:spacing w:before="120" w:after="120" w:line="288" w:lineRule="auto"/>
              <w:ind w:left="0"/>
              <w:jc w:val="center"/>
            </w:pPr>
            <w:r>
              <w:rPr>
                <w:rFonts w:ascii="Arial" w:hAnsi="Arial" w:eastAsia="等线" w:cs="Arial"/>
                <w:sz w:val="22"/>
              </w:rPr>
              <w:t>IP56 防尘、防暴雨</w:t>
            </w:r>
          </w:p>
        </w:tc>
        <w:tc>
          <w:tcPr>
            <w:tcW w:w="2070" w:type="dxa"/>
            <w:tcMar>
              <w:top w:w="60" w:type="dxa"/>
              <w:left w:w="120" w:type="dxa"/>
              <w:bottom w:w="30" w:type="dxa"/>
              <w:right w:w="120" w:type="dxa"/>
            </w:tcMar>
          </w:tcPr>
          <w:p w14:paraId="7A91A8E3">
            <w:pPr>
              <w:spacing w:before="120" w:after="120" w:line="288" w:lineRule="auto"/>
              <w:ind w:left="0"/>
              <w:jc w:val="center"/>
            </w:pPr>
            <w:r>
              <w:rPr>
                <w:rFonts w:ascii="Arial" w:hAnsi="Arial" w:eastAsia="等线" w:cs="Arial"/>
                <w:sz w:val="22"/>
              </w:rPr>
              <w:t>适配珠海高湿、多雨户外库区环境</w:t>
            </w:r>
          </w:p>
        </w:tc>
      </w:tr>
      <w:tr w14:paraId="53118F4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43A7DBBE">
            <w:pPr>
              <w:spacing w:before="120" w:after="120" w:line="288" w:lineRule="auto"/>
              <w:ind w:left="0"/>
              <w:jc w:val="center"/>
            </w:pPr>
          </w:p>
        </w:tc>
        <w:tc>
          <w:tcPr>
            <w:tcW w:w="2070" w:type="dxa"/>
            <w:tcMar>
              <w:top w:w="60" w:type="dxa"/>
              <w:left w:w="120" w:type="dxa"/>
              <w:bottom w:w="30" w:type="dxa"/>
              <w:right w:w="120" w:type="dxa"/>
            </w:tcMar>
          </w:tcPr>
          <w:p w14:paraId="76B90DAB">
            <w:pPr>
              <w:spacing w:before="120" w:after="120" w:line="288" w:lineRule="auto"/>
              <w:ind w:left="0"/>
              <w:jc w:val="center"/>
            </w:pPr>
            <w:r>
              <w:rPr>
                <w:rFonts w:ascii="Arial" w:hAnsi="Arial" w:eastAsia="等线" w:cs="Arial"/>
                <w:sz w:val="22"/>
              </w:rPr>
              <w:t>工作温度范围</w:t>
            </w:r>
          </w:p>
        </w:tc>
        <w:tc>
          <w:tcPr>
            <w:tcW w:w="2070" w:type="dxa"/>
            <w:tcMar>
              <w:top w:w="60" w:type="dxa"/>
              <w:left w:w="120" w:type="dxa"/>
              <w:bottom w:w="30" w:type="dxa"/>
              <w:right w:w="120" w:type="dxa"/>
            </w:tcMar>
          </w:tcPr>
          <w:p w14:paraId="7B1BE303">
            <w:pPr>
              <w:spacing w:before="120" w:after="120" w:line="288" w:lineRule="auto"/>
              <w:ind w:left="0"/>
              <w:jc w:val="center"/>
            </w:pPr>
            <w:r>
              <w:rPr>
                <w:rFonts w:ascii="Arial" w:hAnsi="Arial" w:eastAsia="等线" w:cs="Arial"/>
                <w:sz w:val="22"/>
              </w:rPr>
              <w:t>-30℃ ~ +50℃（自带恒温空调）</w:t>
            </w:r>
          </w:p>
        </w:tc>
        <w:tc>
          <w:tcPr>
            <w:tcW w:w="2070" w:type="dxa"/>
            <w:tcMar>
              <w:top w:w="60" w:type="dxa"/>
              <w:left w:w="120" w:type="dxa"/>
              <w:bottom w:w="30" w:type="dxa"/>
              <w:right w:w="120" w:type="dxa"/>
            </w:tcMar>
          </w:tcPr>
          <w:p w14:paraId="5706D5EE">
            <w:pPr>
              <w:spacing w:before="120" w:after="120" w:line="288" w:lineRule="auto"/>
              <w:ind w:left="0"/>
              <w:jc w:val="center"/>
            </w:pPr>
            <w:r>
              <w:rPr>
                <w:rFonts w:ascii="Arial" w:hAnsi="Arial" w:eastAsia="等线" w:cs="Arial"/>
                <w:sz w:val="22"/>
              </w:rPr>
              <w:t>全年全天候适配珠海夏热冬暖气候</w:t>
            </w:r>
          </w:p>
        </w:tc>
      </w:tr>
      <w:tr w14:paraId="0E7A3E7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37B0A1B1">
            <w:pPr>
              <w:spacing w:before="120" w:after="120" w:line="288" w:lineRule="auto"/>
              <w:ind w:left="0"/>
              <w:jc w:val="center"/>
            </w:pPr>
          </w:p>
        </w:tc>
        <w:tc>
          <w:tcPr>
            <w:tcW w:w="2070" w:type="dxa"/>
            <w:tcMar>
              <w:top w:w="60" w:type="dxa"/>
              <w:left w:w="120" w:type="dxa"/>
              <w:bottom w:w="30" w:type="dxa"/>
              <w:right w:w="120" w:type="dxa"/>
            </w:tcMar>
          </w:tcPr>
          <w:p w14:paraId="2C393D32">
            <w:pPr>
              <w:spacing w:before="120" w:after="120" w:line="288" w:lineRule="auto"/>
              <w:ind w:left="0"/>
              <w:jc w:val="center"/>
            </w:pPr>
            <w:r>
              <w:rPr>
                <w:rFonts w:ascii="Arial" w:hAnsi="Arial" w:eastAsia="等线" w:cs="Arial"/>
                <w:sz w:val="22"/>
              </w:rPr>
              <w:t>作业降雨阈值</w:t>
            </w:r>
          </w:p>
        </w:tc>
        <w:tc>
          <w:tcPr>
            <w:tcW w:w="2070" w:type="dxa"/>
            <w:tcMar>
              <w:top w:w="60" w:type="dxa"/>
              <w:left w:w="120" w:type="dxa"/>
              <w:bottom w:w="30" w:type="dxa"/>
              <w:right w:w="120" w:type="dxa"/>
            </w:tcMar>
          </w:tcPr>
          <w:p w14:paraId="1A038B40">
            <w:pPr>
              <w:spacing w:before="120" w:after="120" w:line="288" w:lineRule="auto"/>
              <w:ind w:left="0"/>
              <w:jc w:val="center"/>
            </w:pPr>
            <w:r>
              <w:rPr>
                <w:rFonts w:ascii="Arial" w:hAnsi="Arial" w:eastAsia="等线" w:cs="Arial"/>
                <w:sz w:val="22"/>
              </w:rPr>
              <w:t>≤2mm/h小雨可正常飞行</w:t>
            </w:r>
          </w:p>
        </w:tc>
        <w:tc>
          <w:tcPr>
            <w:tcW w:w="2070" w:type="dxa"/>
            <w:tcMar>
              <w:top w:w="60" w:type="dxa"/>
              <w:left w:w="120" w:type="dxa"/>
              <w:bottom w:w="30" w:type="dxa"/>
              <w:right w:w="120" w:type="dxa"/>
            </w:tcMar>
          </w:tcPr>
          <w:p w14:paraId="224655FE">
            <w:pPr>
              <w:spacing w:before="120" w:after="120" w:line="288" w:lineRule="auto"/>
              <w:ind w:left="0"/>
              <w:jc w:val="center"/>
            </w:pPr>
            <w:r>
              <w:rPr>
                <w:rFonts w:ascii="Arial" w:hAnsi="Arial" w:eastAsia="等线" w:cs="Arial"/>
                <w:sz w:val="22"/>
              </w:rPr>
              <w:t>雨天常规巡检作业能力</w:t>
            </w:r>
          </w:p>
        </w:tc>
      </w:tr>
      <w:tr w14:paraId="00AF172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5BC52601">
            <w:pPr>
              <w:spacing w:before="120" w:after="120" w:line="288" w:lineRule="auto"/>
              <w:ind w:left="0"/>
              <w:jc w:val="center"/>
            </w:pPr>
          </w:p>
        </w:tc>
        <w:tc>
          <w:tcPr>
            <w:tcW w:w="2070" w:type="dxa"/>
            <w:tcMar>
              <w:top w:w="60" w:type="dxa"/>
              <w:left w:w="120" w:type="dxa"/>
              <w:bottom w:w="30" w:type="dxa"/>
              <w:right w:w="120" w:type="dxa"/>
            </w:tcMar>
          </w:tcPr>
          <w:p w14:paraId="55267B85">
            <w:pPr>
              <w:spacing w:before="120" w:after="120" w:line="288" w:lineRule="auto"/>
              <w:ind w:left="0"/>
              <w:jc w:val="center"/>
            </w:pPr>
            <w:r>
              <w:rPr>
                <w:rFonts w:ascii="Arial" w:hAnsi="Arial" w:eastAsia="等线" w:cs="Arial"/>
                <w:sz w:val="22"/>
              </w:rPr>
              <w:t>安全起降风速</w:t>
            </w:r>
          </w:p>
        </w:tc>
        <w:tc>
          <w:tcPr>
            <w:tcW w:w="2070" w:type="dxa"/>
            <w:tcMar>
              <w:top w:w="60" w:type="dxa"/>
              <w:left w:w="120" w:type="dxa"/>
              <w:bottom w:w="30" w:type="dxa"/>
              <w:right w:w="120" w:type="dxa"/>
            </w:tcMar>
          </w:tcPr>
          <w:p w14:paraId="2A551AE2">
            <w:pPr>
              <w:spacing w:before="120" w:after="120" w:line="288" w:lineRule="auto"/>
              <w:ind w:left="0"/>
              <w:jc w:val="center"/>
            </w:pPr>
            <w:r>
              <w:rPr>
                <w:rFonts w:ascii="Arial" w:hAnsi="Arial" w:eastAsia="等线" w:cs="Arial"/>
                <w:sz w:val="22"/>
              </w:rPr>
              <w:t>≤12m/s，超阈值自动禁飞/返航</w:t>
            </w:r>
          </w:p>
        </w:tc>
        <w:tc>
          <w:tcPr>
            <w:tcW w:w="2070" w:type="dxa"/>
            <w:tcMar>
              <w:top w:w="60" w:type="dxa"/>
              <w:left w:w="120" w:type="dxa"/>
              <w:bottom w:w="30" w:type="dxa"/>
              <w:right w:w="120" w:type="dxa"/>
            </w:tcMar>
          </w:tcPr>
          <w:p w14:paraId="174D152E">
            <w:pPr>
              <w:spacing w:before="120" w:after="120" w:line="288" w:lineRule="auto"/>
              <w:ind w:left="0"/>
              <w:jc w:val="center"/>
            </w:pPr>
            <w:r>
              <w:rPr>
                <w:rFonts w:ascii="Arial" w:hAnsi="Arial" w:eastAsia="等线" w:cs="Arial"/>
                <w:sz w:val="22"/>
              </w:rPr>
              <w:t>选址优先背风高地，规避山谷乱风区</w:t>
            </w:r>
          </w:p>
        </w:tc>
      </w:tr>
      <w:tr w14:paraId="2640BDB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4AB93217">
            <w:pPr>
              <w:spacing w:before="120" w:after="120" w:line="288" w:lineRule="auto"/>
              <w:ind w:left="0"/>
              <w:jc w:val="center"/>
            </w:pPr>
          </w:p>
        </w:tc>
        <w:tc>
          <w:tcPr>
            <w:tcW w:w="2070" w:type="dxa"/>
            <w:tcMar>
              <w:top w:w="60" w:type="dxa"/>
              <w:left w:w="120" w:type="dxa"/>
              <w:bottom w:w="30" w:type="dxa"/>
              <w:right w:w="120" w:type="dxa"/>
            </w:tcMar>
          </w:tcPr>
          <w:p w14:paraId="43439663">
            <w:pPr>
              <w:spacing w:before="120" w:after="120" w:line="288" w:lineRule="auto"/>
              <w:ind w:left="0"/>
              <w:jc w:val="center"/>
            </w:pPr>
            <w:r>
              <w:rPr>
                <w:rFonts w:ascii="Arial" w:hAnsi="Arial" w:eastAsia="等线" w:cs="Arial"/>
                <w:sz w:val="22"/>
              </w:rPr>
              <w:t>最大部署海拔</w:t>
            </w:r>
          </w:p>
        </w:tc>
        <w:tc>
          <w:tcPr>
            <w:tcW w:w="2070" w:type="dxa"/>
            <w:tcMar>
              <w:top w:w="60" w:type="dxa"/>
              <w:left w:w="120" w:type="dxa"/>
              <w:bottom w:w="30" w:type="dxa"/>
              <w:right w:w="120" w:type="dxa"/>
            </w:tcMar>
          </w:tcPr>
          <w:p w14:paraId="44D2F3C6">
            <w:pPr>
              <w:spacing w:before="120" w:after="120" w:line="288" w:lineRule="auto"/>
              <w:ind w:left="0"/>
              <w:jc w:val="center"/>
            </w:pPr>
            <w:r>
              <w:rPr>
                <w:rFonts w:ascii="Arial" w:hAnsi="Arial" w:eastAsia="等线" w:cs="Arial"/>
                <w:sz w:val="22"/>
              </w:rPr>
              <w:t>4500m</w:t>
            </w:r>
          </w:p>
        </w:tc>
        <w:tc>
          <w:tcPr>
            <w:tcW w:w="2070" w:type="dxa"/>
            <w:tcMar>
              <w:top w:w="60" w:type="dxa"/>
              <w:left w:w="120" w:type="dxa"/>
              <w:bottom w:w="30" w:type="dxa"/>
              <w:right w:w="120" w:type="dxa"/>
            </w:tcMar>
          </w:tcPr>
          <w:p w14:paraId="49F63DF2">
            <w:pPr>
              <w:spacing w:before="120" w:after="120" w:line="288" w:lineRule="auto"/>
              <w:ind w:left="0"/>
              <w:jc w:val="center"/>
            </w:pPr>
            <w:r>
              <w:rPr>
                <w:rFonts w:ascii="Arial" w:hAnsi="Arial" w:eastAsia="等线" w:cs="Arial"/>
                <w:sz w:val="22"/>
              </w:rPr>
              <w:t>珠海库区海拔完全满足</w:t>
            </w:r>
          </w:p>
        </w:tc>
      </w:tr>
      <w:tr w14:paraId="48E2DC9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restart"/>
            <w:tcMar>
              <w:top w:w="60" w:type="dxa"/>
              <w:left w:w="120" w:type="dxa"/>
              <w:bottom w:w="30" w:type="dxa"/>
              <w:right w:w="120" w:type="dxa"/>
            </w:tcMar>
          </w:tcPr>
          <w:p w14:paraId="10CDE092">
            <w:pPr>
              <w:spacing w:before="120" w:after="120" w:line="288" w:lineRule="auto"/>
              <w:ind w:left="0"/>
              <w:jc w:val="center"/>
              <w:rPr>
                <w:rFonts w:ascii="Arial" w:hAnsi="Arial" w:eastAsia="等线" w:cs="Arial"/>
                <w:b/>
                <w:sz w:val="22"/>
              </w:rPr>
            </w:pPr>
          </w:p>
          <w:p w14:paraId="78815398">
            <w:pPr>
              <w:spacing w:before="120" w:after="120" w:line="288" w:lineRule="auto"/>
              <w:ind w:left="0"/>
              <w:jc w:val="center"/>
              <w:rPr>
                <w:rFonts w:ascii="Arial" w:hAnsi="Arial" w:eastAsia="等线" w:cs="Arial"/>
                <w:b/>
                <w:sz w:val="22"/>
              </w:rPr>
            </w:pPr>
          </w:p>
          <w:p w14:paraId="4BB021F9">
            <w:pPr>
              <w:spacing w:before="120" w:after="120" w:line="288" w:lineRule="auto"/>
              <w:ind w:left="0"/>
              <w:jc w:val="center"/>
              <w:rPr>
                <w:rFonts w:ascii="Arial" w:hAnsi="Arial" w:eastAsia="等线" w:cs="Arial"/>
                <w:b/>
                <w:sz w:val="22"/>
              </w:rPr>
            </w:pPr>
          </w:p>
          <w:p w14:paraId="6CED3443">
            <w:pPr>
              <w:spacing w:before="120" w:after="120" w:line="288" w:lineRule="auto"/>
              <w:ind w:left="0"/>
              <w:jc w:val="center"/>
            </w:pPr>
            <w:r>
              <w:rPr>
                <w:rFonts w:ascii="Arial" w:hAnsi="Arial" w:eastAsia="等线" w:cs="Arial"/>
                <w:b/>
                <w:sz w:val="22"/>
              </w:rPr>
              <w:t>定位与通讯</w:t>
            </w:r>
            <w:r>
              <w:rPr>
                <w:rFonts w:ascii="Arial" w:hAnsi="Arial" w:eastAsia="等线" w:cs="Arial"/>
                <w:b/>
                <w:sz w:val="22"/>
              </w:rPr>
              <w:br w:type="textWrapping"/>
            </w:r>
            <w:r>
              <w:rPr>
                <w:rFonts w:hint="eastAsia" w:eastAsia="等线" w:cs="Arial"/>
                <w:b/>
                <w:sz w:val="22"/>
                <w:lang w:eastAsia="zh-CN"/>
              </w:rPr>
              <w:t>（</w:t>
            </w:r>
            <w:r>
              <w:rPr>
                <w:rFonts w:ascii="Arial" w:hAnsi="Arial" w:eastAsia="等线" w:cs="Arial"/>
                <w:b/>
                <w:sz w:val="22"/>
              </w:rPr>
              <w:t>信号覆盖依据</w:t>
            </w:r>
            <w:r>
              <w:rPr>
                <w:rFonts w:hint="eastAsia" w:eastAsia="等线" w:cs="Arial"/>
                <w:b/>
                <w:sz w:val="22"/>
                <w:lang w:eastAsia="zh-CN"/>
              </w:rPr>
              <w:t>）</w:t>
            </w:r>
          </w:p>
        </w:tc>
        <w:tc>
          <w:tcPr>
            <w:tcW w:w="2070" w:type="dxa"/>
            <w:tcMar>
              <w:top w:w="60" w:type="dxa"/>
              <w:left w:w="120" w:type="dxa"/>
              <w:bottom w:w="30" w:type="dxa"/>
              <w:right w:w="120" w:type="dxa"/>
            </w:tcMar>
          </w:tcPr>
          <w:p w14:paraId="7674CA1A">
            <w:pPr>
              <w:spacing w:before="120" w:after="120" w:line="288" w:lineRule="auto"/>
              <w:ind w:left="0"/>
              <w:jc w:val="center"/>
            </w:pPr>
            <w:r>
              <w:rPr>
                <w:rFonts w:ascii="Arial" w:hAnsi="Arial" w:eastAsia="等线" w:cs="Arial"/>
                <w:sz w:val="22"/>
              </w:rPr>
              <w:t>RTK定位系统</w:t>
            </w:r>
          </w:p>
        </w:tc>
        <w:tc>
          <w:tcPr>
            <w:tcW w:w="2070" w:type="dxa"/>
            <w:tcMar>
              <w:top w:w="60" w:type="dxa"/>
              <w:left w:w="120" w:type="dxa"/>
              <w:bottom w:w="30" w:type="dxa"/>
              <w:right w:w="120" w:type="dxa"/>
            </w:tcMar>
          </w:tcPr>
          <w:p w14:paraId="60A65B12">
            <w:pPr>
              <w:spacing w:before="120" w:after="120" w:line="288" w:lineRule="auto"/>
              <w:ind w:left="0"/>
              <w:jc w:val="center"/>
            </w:pPr>
            <w:r>
              <w:rPr>
                <w:rFonts w:ascii="Arial" w:hAnsi="Arial" w:eastAsia="等线" w:cs="Arial"/>
                <w:sz w:val="22"/>
              </w:rPr>
              <w:t>内置D-RTK3基站，四星系统；水平1cm+1ppm、垂直2cm+1ppm</w:t>
            </w:r>
          </w:p>
        </w:tc>
        <w:tc>
          <w:tcPr>
            <w:tcW w:w="2070" w:type="dxa"/>
            <w:tcMar>
              <w:top w:w="60" w:type="dxa"/>
              <w:left w:w="120" w:type="dxa"/>
              <w:bottom w:w="30" w:type="dxa"/>
              <w:right w:w="120" w:type="dxa"/>
            </w:tcMar>
          </w:tcPr>
          <w:p w14:paraId="248FCFFB">
            <w:pPr>
              <w:spacing w:before="120" w:after="120" w:line="288" w:lineRule="auto"/>
              <w:ind w:left="0"/>
              <w:jc w:val="center"/>
            </w:pPr>
            <w:r>
              <w:rPr>
                <w:rFonts w:ascii="Arial" w:hAnsi="Arial" w:eastAsia="等线" w:cs="Arial"/>
                <w:sz w:val="22"/>
              </w:rPr>
              <w:t>坝体病害、岸线变化厘米级高精度监测</w:t>
            </w:r>
          </w:p>
        </w:tc>
      </w:tr>
      <w:tr w14:paraId="66A39AA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4A327B8A">
            <w:pPr>
              <w:spacing w:before="120" w:after="120" w:line="288" w:lineRule="auto"/>
              <w:ind w:left="0"/>
              <w:jc w:val="center"/>
            </w:pPr>
          </w:p>
        </w:tc>
        <w:tc>
          <w:tcPr>
            <w:tcW w:w="2070" w:type="dxa"/>
            <w:tcMar>
              <w:top w:w="60" w:type="dxa"/>
              <w:left w:w="120" w:type="dxa"/>
              <w:bottom w:w="30" w:type="dxa"/>
              <w:right w:w="120" w:type="dxa"/>
            </w:tcMar>
          </w:tcPr>
          <w:p w14:paraId="54C9F018">
            <w:pPr>
              <w:spacing w:before="120" w:after="120" w:line="288" w:lineRule="auto"/>
              <w:ind w:left="0"/>
              <w:jc w:val="center"/>
            </w:pPr>
            <w:r>
              <w:rPr>
                <w:rFonts w:ascii="Arial" w:hAnsi="Arial" w:eastAsia="等线" w:cs="Arial"/>
                <w:sz w:val="22"/>
              </w:rPr>
              <w:t>图传系统</w:t>
            </w:r>
          </w:p>
        </w:tc>
        <w:tc>
          <w:tcPr>
            <w:tcW w:w="2070" w:type="dxa"/>
            <w:tcMar>
              <w:top w:w="60" w:type="dxa"/>
              <w:left w:w="120" w:type="dxa"/>
              <w:bottom w:w="30" w:type="dxa"/>
              <w:right w:w="120" w:type="dxa"/>
            </w:tcMar>
          </w:tcPr>
          <w:p w14:paraId="4399F724">
            <w:pPr>
              <w:spacing w:before="120" w:after="120" w:line="288" w:lineRule="auto"/>
              <w:ind w:left="0"/>
              <w:jc w:val="center"/>
            </w:pPr>
            <w:r>
              <w:rPr>
                <w:rFonts w:ascii="Arial" w:hAnsi="Arial" w:eastAsia="等线" w:cs="Arial"/>
                <w:sz w:val="22"/>
              </w:rPr>
              <w:t>O4+行业图传，有效距离12km</w:t>
            </w:r>
          </w:p>
        </w:tc>
        <w:tc>
          <w:tcPr>
            <w:tcW w:w="2070" w:type="dxa"/>
            <w:tcMar>
              <w:top w:w="60" w:type="dxa"/>
              <w:left w:w="120" w:type="dxa"/>
              <w:bottom w:w="30" w:type="dxa"/>
              <w:right w:w="120" w:type="dxa"/>
            </w:tcMar>
          </w:tcPr>
          <w:p w14:paraId="0AE35B9A">
            <w:pPr>
              <w:spacing w:before="120" w:after="120" w:line="288" w:lineRule="auto"/>
              <w:ind w:left="0"/>
              <w:jc w:val="center"/>
            </w:pPr>
            <w:r>
              <w:rPr>
                <w:rFonts w:ascii="Arial" w:hAnsi="Arial" w:eastAsia="等线" w:cs="Arial"/>
                <w:sz w:val="22"/>
              </w:rPr>
              <w:t>单机库100%覆盖双水库无盲区</w:t>
            </w:r>
          </w:p>
        </w:tc>
      </w:tr>
      <w:tr w14:paraId="7CB85E6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vMerge w:val="continue"/>
            <w:tcMar>
              <w:top w:w="60" w:type="dxa"/>
              <w:left w:w="120" w:type="dxa"/>
              <w:bottom w:w="30" w:type="dxa"/>
              <w:right w:w="120" w:type="dxa"/>
            </w:tcMar>
          </w:tcPr>
          <w:p w14:paraId="6C2224F2">
            <w:pPr>
              <w:spacing w:before="120" w:after="120" w:line="288" w:lineRule="auto"/>
              <w:ind w:left="0"/>
              <w:jc w:val="center"/>
            </w:pPr>
          </w:p>
        </w:tc>
        <w:tc>
          <w:tcPr>
            <w:tcW w:w="2070" w:type="dxa"/>
            <w:tcMar>
              <w:top w:w="60" w:type="dxa"/>
              <w:left w:w="120" w:type="dxa"/>
              <w:bottom w:w="30" w:type="dxa"/>
              <w:right w:w="120" w:type="dxa"/>
            </w:tcMar>
          </w:tcPr>
          <w:p w14:paraId="5D21523F">
            <w:pPr>
              <w:spacing w:before="120" w:after="120" w:line="288" w:lineRule="auto"/>
              <w:ind w:left="0"/>
              <w:jc w:val="center"/>
            </w:pPr>
            <w:r>
              <w:rPr>
                <w:rFonts w:ascii="Arial" w:hAnsi="Arial" w:eastAsia="等线" w:cs="Arial"/>
                <w:sz w:val="22"/>
              </w:rPr>
              <w:t>网络支持</w:t>
            </w:r>
          </w:p>
        </w:tc>
        <w:tc>
          <w:tcPr>
            <w:tcW w:w="2070" w:type="dxa"/>
            <w:tcMar>
              <w:top w:w="60" w:type="dxa"/>
              <w:left w:w="120" w:type="dxa"/>
              <w:bottom w:w="30" w:type="dxa"/>
              <w:right w:w="120" w:type="dxa"/>
            </w:tcMar>
          </w:tcPr>
          <w:p w14:paraId="7F479055">
            <w:pPr>
              <w:spacing w:before="120" w:after="120" w:line="288" w:lineRule="auto"/>
              <w:ind w:left="0"/>
              <w:jc w:val="center"/>
            </w:pPr>
            <w:r>
              <w:rPr>
                <w:rFonts w:ascii="Arial" w:hAnsi="Arial" w:eastAsia="等线" w:cs="Arial"/>
                <w:sz w:val="22"/>
              </w:rPr>
              <w:t>有线网口+4G/5G全网通</w:t>
            </w:r>
          </w:p>
        </w:tc>
        <w:tc>
          <w:tcPr>
            <w:tcW w:w="2070" w:type="dxa"/>
            <w:tcMar>
              <w:top w:w="60" w:type="dxa"/>
              <w:left w:w="120" w:type="dxa"/>
              <w:bottom w:w="30" w:type="dxa"/>
              <w:right w:w="120" w:type="dxa"/>
            </w:tcMar>
          </w:tcPr>
          <w:p w14:paraId="262CB4DC">
            <w:pPr>
              <w:spacing w:before="120" w:after="120" w:line="288" w:lineRule="auto"/>
              <w:ind w:left="0"/>
              <w:jc w:val="center"/>
            </w:pPr>
            <w:r>
              <w:rPr>
                <w:rFonts w:ascii="Arial" w:hAnsi="Arial" w:eastAsia="等线" w:cs="Arial"/>
                <w:sz w:val="22"/>
              </w:rPr>
              <w:t>满足远程管控、视频实时回传</w:t>
            </w:r>
          </w:p>
        </w:tc>
      </w:tr>
    </w:tbl>
    <w:p w14:paraId="74334F43">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31" w:firstLine="602" w:firstLineChars="200"/>
        <w:textAlignment w:val="baseline"/>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四、费用预算</w:t>
      </w:r>
    </w:p>
    <w:p w14:paraId="6E8FA50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0" w:firstLineChars="200"/>
        <w:textAlignment w:val="baseline"/>
        <w:outlineLvl w:val="2"/>
        <w:rPr>
          <w:rFonts w:hint="eastAsia"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4.1 整套无人机飞控平台和业务框架后台开发预算≤15万元人民币；</w:t>
      </w:r>
    </w:p>
    <w:p w14:paraId="6938511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0" w:firstLineChars="200"/>
        <w:textAlignment w:val="baseline"/>
        <w:outlineLvl w:val="2"/>
        <w:rPr>
          <w:rFonts w:hint="default"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4.2配套无人机机库预算≤9万元人民币；</w:t>
      </w:r>
    </w:p>
    <w:p w14:paraId="7326C64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0" w:firstLineChars="200"/>
        <w:textAlignment w:val="baseline"/>
        <w:outlineLvl w:val="2"/>
        <w:rPr>
          <w:rFonts w:hint="eastAsia" w:ascii="仿宋" w:hAnsi="仿宋" w:eastAsia="仿宋" w:cs="仿宋"/>
          <w:sz w:val="30"/>
          <w:szCs w:val="30"/>
          <w:lang w:val="en-US" w:eastAsia="zh-CN"/>
        </w:rPr>
      </w:pPr>
      <w:r>
        <w:rPr>
          <w:rFonts w:hint="eastAsia" w:ascii="仿宋" w:hAnsi="仿宋" w:eastAsia="仿宋" w:cs="仿宋"/>
          <w:snapToGrid w:val="0"/>
          <w:color w:val="000000"/>
          <w:kern w:val="0"/>
          <w:sz w:val="30"/>
          <w:szCs w:val="30"/>
          <w:lang w:val="en-US" w:eastAsia="zh-CN" w:bidi="ar-SA"/>
        </w:rPr>
        <w:t>4.3 考虑到正方产开运未来在自由市场承接不同主体业务，对系统的后续会有整体开发、更新、维护和升级的需求，此部分费用</w:t>
      </w:r>
      <w:r>
        <w:rPr>
          <w:rFonts w:hint="eastAsia" w:ascii="仿宋" w:hAnsi="仿宋" w:eastAsia="仿宋" w:cs="仿宋"/>
          <w:sz w:val="30"/>
          <w:szCs w:val="30"/>
          <w:lang w:val="en-US" w:eastAsia="zh-CN"/>
        </w:rPr>
        <w:t>≤2.1万元人民币/年，标准化维保服务预估4年。</w:t>
      </w:r>
    </w:p>
    <w:p w14:paraId="5965F5E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0" w:firstLineChars="200"/>
        <w:textAlignment w:val="baseline"/>
        <w:outlineLvl w:val="2"/>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4.4 该项目整体预算为32.4万元人民币。</w:t>
      </w:r>
    </w:p>
    <w:p w14:paraId="0FEC1B7C">
      <w:pPr>
        <w:pStyle w:val="8"/>
        <w:keepNext w:val="0"/>
        <w:keepLines w:val="0"/>
        <w:pageBreakBefore w:val="0"/>
        <w:widowControl/>
        <w:shd w:val="clear" w:fill="auto"/>
        <w:kinsoku w:val="0"/>
        <w:wordWrap/>
        <w:overflowPunct/>
        <w:topLinePunct w:val="0"/>
        <w:autoSpaceDE w:val="0"/>
        <w:autoSpaceDN w:val="0"/>
        <w:bidi w:val="0"/>
        <w:adjustRightInd w:val="0"/>
        <w:snapToGrid w:val="0"/>
        <w:spacing w:line="560" w:lineRule="exact"/>
        <w:ind w:right="31" w:firstLine="602" w:firstLineChars="200"/>
        <w:textAlignment w:val="baseline"/>
        <w:rPr>
          <w:rFonts w:hint="default" w:ascii="仿宋" w:hAnsi="仿宋" w:eastAsia="仿宋" w:cs="仿宋"/>
          <w:b/>
          <w:bCs/>
          <w:sz w:val="30"/>
          <w:szCs w:val="30"/>
          <w:lang w:val="en-US" w:eastAsia="zh-CN"/>
        </w:rPr>
      </w:pPr>
      <w:r>
        <w:rPr>
          <w:rFonts w:hint="eastAsia" w:ascii="仿宋" w:hAnsi="仿宋" w:eastAsia="仿宋" w:cs="仿宋"/>
          <w:b/>
          <w:bCs/>
          <w:sz w:val="30"/>
          <w:szCs w:val="30"/>
          <w:lang w:val="en-US" w:eastAsia="zh-CN"/>
        </w:rPr>
        <w:t>五、付款方式</w:t>
      </w:r>
    </w:p>
    <w:p w14:paraId="068C1EB2">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600"/>
        <w:textAlignment w:val="baseline"/>
        <w:outlineLvl w:val="2"/>
        <w:rPr>
          <w:rFonts w:hint="eastAsia" w:ascii="仿宋" w:hAnsi="仿宋" w:eastAsia="仿宋" w:cs="仿宋"/>
          <w:sz w:val="30"/>
          <w:szCs w:val="30"/>
          <w:lang w:val="en-US" w:eastAsia="zh-CN"/>
        </w:rPr>
      </w:pPr>
      <w:r>
        <w:rPr>
          <w:rFonts w:hint="eastAsia" w:ascii="仿宋" w:hAnsi="仿宋" w:eastAsia="仿宋" w:cs="仿宋"/>
          <w:snapToGrid w:val="0"/>
          <w:color w:val="000000"/>
          <w:kern w:val="0"/>
          <w:sz w:val="30"/>
          <w:szCs w:val="30"/>
          <w:lang w:val="en-US" w:eastAsia="zh-CN" w:bidi="ar-SA"/>
        </w:rPr>
        <w:t>详见合同条款</w:t>
      </w:r>
    </w:p>
    <w:p w14:paraId="60AE411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2" w:firstLineChars="200"/>
        <w:textAlignment w:val="baseline"/>
        <w:outlineLvl w:val="2"/>
        <w:rPr>
          <w:rFonts w:hint="eastAsia" w:ascii="仿宋" w:hAnsi="仿宋" w:eastAsia="仿宋" w:cs="仿宋"/>
          <w:b/>
          <w:bCs/>
          <w:sz w:val="30"/>
          <w:szCs w:val="30"/>
          <w:highlight w:val="none"/>
          <w:lang w:val="en-US" w:eastAsia="zh-CN"/>
        </w:rPr>
      </w:pPr>
      <w:r>
        <w:rPr>
          <w:rFonts w:hint="eastAsia" w:ascii="仿宋" w:hAnsi="仿宋" w:eastAsia="仿宋" w:cs="仿宋"/>
          <w:b/>
          <w:bCs/>
          <w:sz w:val="30"/>
          <w:szCs w:val="30"/>
          <w:highlight w:val="none"/>
          <w:lang w:val="en-US" w:eastAsia="zh-CN"/>
        </w:rPr>
        <w:t>六、</w:t>
      </w:r>
      <w:r>
        <w:rPr>
          <w:rFonts w:hint="eastAsia" w:ascii="仿宋" w:hAnsi="仿宋" w:eastAsia="仿宋" w:cs="仿宋"/>
          <w:b/>
          <w:bCs/>
          <w:sz w:val="30"/>
          <w:szCs w:val="30"/>
          <w:lang w:eastAsia="zh-CN"/>
        </w:rPr>
        <w:t>知识产权与源码</w:t>
      </w:r>
      <w:r>
        <w:rPr>
          <w:rFonts w:hint="eastAsia" w:ascii="仿宋" w:hAnsi="仿宋" w:eastAsia="仿宋" w:cs="仿宋"/>
          <w:b/>
          <w:bCs/>
          <w:sz w:val="30"/>
          <w:szCs w:val="30"/>
          <w:lang w:val="en-US" w:eastAsia="zh-CN"/>
        </w:rPr>
        <w:t>及其他派生数据</w:t>
      </w:r>
      <w:r>
        <w:rPr>
          <w:rFonts w:hint="eastAsia" w:ascii="仿宋" w:hAnsi="仿宋" w:eastAsia="仿宋" w:cs="仿宋"/>
          <w:b/>
          <w:bCs/>
          <w:sz w:val="30"/>
          <w:szCs w:val="30"/>
          <w:lang w:eastAsia="zh-CN"/>
        </w:rPr>
        <w:t>归属</w:t>
      </w:r>
    </w:p>
    <w:p w14:paraId="1D1AA692">
      <w:pPr>
        <w:keepNext w:val="0"/>
        <w:keepLines w:val="0"/>
        <w:pageBreakBefore w:val="0"/>
        <w:widowControl/>
        <w:numPr>
          <w:ilvl w:val="-1"/>
          <w:numId w:val="0"/>
        </w:numPr>
        <w:kinsoku/>
        <w:wordWrap/>
        <w:overflowPunct/>
        <w:topLinePunct w:val="0"/>
        <w:autoSpaceDE/>
        <w:autoSpaceDN/>
        <w:bidi w:val="0"/>
        <w:adjustRightInd/>
        <w:snapToGrid/>
        <w:spacing w:before="120" w:after="120" w:line="288" w:lineRule="auto"/>
        <w:ind w:firstLine="600"/>
        <w:textAlignment w:val="auto"/>
        <w:outlineLvl w:val="9"/>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本项目交付的无人机飞控平台全部软件源代码、程序算法、技术架构、软件专利、软件著作权及项目全量运营数据、业务数据等全部知识产权与数据资产所有权、使用权、处置权均归甲方独家所有；乙方须配合甲方在 60 日内完成飞控平台系统的知识产权申报工作，并最终取得权利人为甲方的软件著作权证书。</w:t>
      </w:r>
    </w:p>
    <w:p w14:paraId="1CF7B1C7">
      <w:pPr>
        <w:keepNext w:val="0"/>
        <w:keepLines w:val="0"/>
        <w:pageBreakBefore w:val="0"/>
        <w:widowControl/>
        <w:numPr>
          <w:ilvl w:val="-1"/>
          <w:numId w:val="0"/>
        </w:numPr>
        <w:kinsoku/>
        <w:wordWrap/>
        <w:overflowPunct/>
        <w:topLinePunct w:val="0"/>
        <w:autoSpaceDE/>
        <w:autoSpaceDN/>
        <w:bidi w:val="0"/>
        <w:adjustRightInd/>
        <w:snapToGrid/>
        <w:spacing w:before="120" w:after="120" w:line="288" w:lineRule="auto"/>
        <w:ind w:firstLine="600"/>
        <w:textAlignment w:val="auto"/>
        <w:outlineLvl w:val="9"/>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七、保险及配套网络服务</w:t>
      </w:r>
    </w:p>
    <w:p w14:paraId="48111AAF">
      <w:pPr>
        <w:keepNext w:val="0"/>
        <w:keepLines w:val="0"/>
        <w:pageBreakBefore w:val="0"/>
        <w:widowControl/>
        <w:numPr>
          <w:ilvl w:val="-1"/>
          <w:numId w:val="0"/>
        </w:numPr>
        <w:kinsoku/>
        <w:wordWrap/>
        <w:overflowPunct/>
        <w:topLinePunct w:val="0"/>
        <w:autoSpaceDE/>
        <w:autoSpaceDN/>
        <w:bidi w:val="0"/>
        <w:adjustRightInd/>
        <w:snapToGrid/>
        <w:spacing w:before="120" w:after="120" w:line="288" w:lineRule="auto"/>
        <w:ind w:firstLine="600" w:firstLineChars="0"/>
        <w:textAlignment w:val="auto"/>
        <w:outlineLvl w:val="9"/>
        <w:rPr>
          <w:rFonts w:hint="eastAsia" w:ascii="仿宋" w:hAnsi="仿宋" w:eastAsia="仿宋" w:cs="仿宋"/>
          <w:sz w:val="30"/>
          <w:szCs w:val="30"/>
          <w:highlight w:val="none"/>
          <w:lang w:val="en-US" w:eastAsia="zh-CN"/>
        </w:rPr>
      </w:pPr>
      <w:r>
        <w:rPr>
          <w:rFonts w:hint="eastAsia" w:ascii="仿宋" w:hAnsi="仿宋" w:eastAsia="仿宋" w:cs="仿宋"/>
          <w:b w:val="0"/>
          <w:bCs w:val="0"/>
          <w:sz w:val="30"/>
          <w:szCs w:val="30"/>
          <w:lang w:val="en-US" w:eastAsia="zh-CN"/>
        </w:rPr>
        <w:t>无人机机库的机库设备保险以及配套网络服务均由乙方提供，服务时长均与本项目系统的维保期限一致，为期4年。</w:t>
      </w:r>
    </w:p>
    <w:p w14:paraId="2837C174">
      <w:pPr>
        <w:pStyle w:val="8"/>
        <w:keepNext w:val="0"/>
        <w:keepLines w:val="0"/>
        <w:pageBreakBefore w:val="0"/>
        <w:widowControl/>
        <w:kinsoku w:val="0"/>
        <w:wordWrap/>
        <w:overflowPunct/>
        <w:topLinePunct w:val="0"/>
        <w:autoSpaceDE w:val="0"/>
        <w:autoSpaceDN w:val="0"/>
        <w:bidi w:val="0"/>
        <w:adjustRightInd w:val="0"/>
        <w:snapToGrid w:val="0"/>
        <w:spacing w:line="560" w:lineRule="exact"/>
        <w:ind w:right="31" w:firstLine="602" w:firstLineChars="200"/>
        <w:textAlignment w:val="baseline"/>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八、售后响应</w:t>
      </w:r>
    </w:p>
    <w:p w14:paraId="24B6339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0"/>
        <w:textAlignment w:val="baseline"/>
        <w:outlineLvl w:val="2"/>
        <w:rPr>
          <w:rFonts w:hint="eastAsia"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正方产开运在上报问题1小时内，供应商需响应回复，并紧急做出保证正方产开运项目所在区域内人员、资产和数据安全的具体措施，2小时内汇报真实问题情况并提出解决方案，6小时内完成问题解决。</w:t>
      </w:r>
    </w:p>
    <w:p w14:paraId="0D710694">
      <w:pPr>
        <w:pStyle w:val="8"/>
        <w:keepNext w:val="0"/>
        <w:keepLines w:val="0"/>
        <w:pageBreakBefore w:val="0"/>
        <w:widowControl/>
        <w:shd w:val="clear" w:fill="auto"/>
        <w:kinsoku w:val="0"/>
        <w:wordWrap/>
        <w:overflowPunct/>
        <w:topLinePunct w:val="0"/>
        <w:autoSpaceDE w:val="0"/>
        <w:autoSpaceDN w:val="0"/>
        <w:bidi w:val="0"/>
        <w:adjustRightInd w:val="0"/>
        <w:snapToGrid w:val="0"/>
        <w:spacing w:line="560" w:lineRule="exact"/>
        <w:ind w:right="31" w:firstLine="602" w:firstLineChars="200"/>
        <w:textAlignment w:val="baseline"/>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九、验收标准与费用结算机制</w:t>
      </w:r>
    </w:p>
    <w:p w14:paraId="5F5BCC85">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600"/>
        <w:textAlignment w:val="baseline"/>
        <w:outlineLvl w:val="2"/>
        <w:rPr>
          <w:rFonts w:hint="eastAsia"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9.1 验收标准</w:t>
      </w:r>
    </w:p>
    <w:p w14:paraId="7E1AF759">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600" w:firstLineChars="200"/>
        <w:textAlignment w:val="baseline"/>
        <w:outlineLvl w:val="2"/>
        <w:rPr>
          <w:rFonts w:hint="eastAsia"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9.1.1 无人机机库</w:t>
      </w:r>
    </w:p>
    <w:p w14:paraId="4E948278">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left="600" w:leftChars="0"/>
        <w:textAlignment w:val="baseline"/>
        <w:outlineLvl w:val="2"/>
        <w:rPr>
          <w:rFonts w:hint="eastAsia"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（1）符合技术任务书对参数的基本描述；</w:t>
      </w:r>
    </w:p>
    <w:p w14:paraId="47C20172">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600"/>
        <w:textAlignment w:val="baseline"/>
        <w:outlineLvl w:val="2"/>
        <w:rPr>
          <w:rFonts w:hint="default"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（2）无人机机库等相关设备均为全新出厂未激活状态，无使用痕迹；</w:t>
      </w:r>
    </w:p>
    <w:p w14:paraId="3735D30B">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left="600" w:leftChars="0"/>
        <w:textAlignment w:val="baseline"/>
        <w:outlineLvl w:val="2"/>
        <w:rPr>
          <w:rFonts w:hint="default"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9.1.2 飞控平台和业务后台</w:t>
      </w:r>
    </w:p>
    <w:p w14:paraId="03881672">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600"/>
        <w:textAlignment w:val="baseline"/>
        <w:outlineLvl w:val="2"/>
        <w:rPr>
          <w:rFonts w:hint="default"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根据中标方在投标阶段提交的关于飞控平台和业务后台技术方案书，对照验收系统内容，是否有漏缺，是否符合飞控平台和业务后台技术方案里对于技术任务书描述的预期功能。</w:t>
      </w:r>
    </w:p>
    <w:p w14:paraId="4E2A40FF">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600"/>
        <w:textAlignment w:val="baseline"/>
        <w:outlineLvl w:val="2"/>
        <w:rPr>
          <w:rFonts w:hint="eastAsia"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9.2 结算机制</w:t>
      </w:r>
    </w:p>
    <w:p w14:paraId="26A178EA">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600"/>
        <w:textAlignment w:val="baseline"/>
        <w:outlineLvl w:val="2"/>
        <w:rPr>
          <w:rFonts w:hint="default"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9.2.1 若无人机机库不符合验收标准9.1.1中的任意一项或两项，则不予验收。中标方可在10个工作日内重新提供一次新的无人机机库交付验收，否则，不予支付尾款。</w:t>
      </w:r>
    </w:p>
    <w:p w14:paraId="54433CA4">
      <w:pPr>
        <w:keepNext w:val="0"/>
        <w:keepLines w:val="0"/>
        <w:pageBreakBefore w:val="0"/>
        <w:widowControl/>
        <w:numPr>
          <w:ilvl w:val="-1"/>
          <w:numId w:val="0"/>
        </w:numPr>
        <w:shd w:val="clear"/>
        <w:kinsoku/>
        <w:wordWrap/>
        <w:overflowPunct/>
        <w:topLinePunct w:val="0"/>
        <w:autoSpaceDE/>
        <w:autoSpaceDN/>
        <w:bidi w:val="0"/>
        <w:adjustRightInd/>
        <w:snapToGrid/>
        <w:spacing w:before="120" w:after="120" w:line="288" w:lineRule="auto"/>
        <w:ind w:firstLine="600" w:firstLineChars="200"/>
        <w:textAlignment w:val="auto"/>
        <w:outlineLvl w:val="9"/>
        <w:rPr>
          <w:rFonts w:hint="eastAsia" w:ascii="仿宋" w:hAnsi="仿宋" w:eastAsia="仿宋" w:cs="仿宋"/>
          <w:snapToGrid w:val="0"/>
          <w:color w:val="000000"/>
          <w:kern w:val="0"/>
          <w:sz w:val="30"/>
          <w:szCs w:val="30"/>
          <w:lang w:val="en-US" w:eastAsia="zh-CN" w:bidi="ar-SA"/>
        </w:rPr>
      </w:pPr>
      <w:r>
        <w:rPr>
          <w:rFonts w:hint="eastAsia" w:ascii="仿宋" w:hAnsi="仿宋" w:eastAsia="仿宋" w:cs="仿宋"/>
          <w:snapToGrid w:val="0"/>
          <w:color w:val="000000"/>
          <w:kern w:val="0"/>
          <w:sz w:val="30"/>
          <w:szCs w:val="30"/>
          <w:lang w:val="en-US" w:eastAsia="zh-CN" w:bidi="ar-SA"/>
        </w:rPr>
        <w:t>9.2.2 验收阶段，若中标方交付验收的飞控平台和业务后台系统，对照在投标阶段提交的技术方案书，存在与技术任务书对功能预期描述不符合的功能项，则每个大功能模块的每一小功能项扣减5%尾款，最多10项，扣减50%，超过10项不予验收。中标方可在15个工作日内对交付标的系统进行补充开发，否则，不予支付尾款。（如：假设中标方在投标阶段提交的关于飞控平台和业务后台技术方案书中对于“</w:t>
      </w:r>
      <w:r>
        <w:rPr>
          <w:rFonts w:hint="eastAsia" w:ascii="仿宋" w:hAnsi="仿宋" w:eastAsia="仿宋" w:cs="仿宋"/>
          <w:b w:val="0"/>
          <w:spacing w:val="0"/>
          <w:sz w:val="30"/>
          <w:szCs w:val="30"/>
          <w:lang w:val="en-US" w:eastAsia="zh-CN"/>
        </w:rPr>
        <w:t>2.6</w:t>
      </w:r>
      <w:r>
        <w:rPr>
          <w:rFonts w:hint="eastAsia" w:ascii="仿宋" w:hAnsi="仿宋" w:eastAsia="仿宋" w:cs="仿宋"/>
          <w:b w:val="0"/>
          <w:spacing w:val="0"/>
          <w:sz w:val="30"/>
          <w:szCs w:val="30"/>
          <w:lang w:eastAsia="zh-CN"/>
        </w:rPr>
        <w:t>无人机与地面固定摄像头联动开发功能需求”</w:t>
      </w:r>
      <w:r>
        <w:rPr>
          <w:rFonts w:hint="eastAsia" w:ascii="仿宋" w:hAnsi="仿宋" w:eastAsia="仿宋" w:cs="仿宋"/>
          <w:snapToGrid w:val="0"/>
          <w:color w:val="000000"/>
          <w:kern w:val="0"/>
          <w:sz w:val="30"/>
          <w:szCs w:val="30"/>
          <w:lang w:val="en-US" w:eastAsia="zh-CN" w:bidi="ar-SA"/>
        </w:rPr>
        <w:t>，提供了成熟的开发方案，包括支持地面摄像头接入、地面预警联动无人机、机载相机与飞行任务联动、多模块融合联动等功能，若在交付验收阶段发现未能实现“地面摄像头接入”和“机载相机与飞行任务联动”两项小功能项，则扣减10%的尾款。）</w:t>
      </w:r>
    </w:p>
    <w:p w14:paraId="76148342">
      <w:pPr>
        <w:keepNext w:val="0"/>
        <w:keepLines w:val="0"/>
        <w:pageBreakBefore w:val="0"/>
        <w:widowControl/>
        <w:numPr>
          <w:ilvl w:val="-1"/>
          <w:numId w:val="0"/>
        </w:numPr>
        <w:kinsoku w:val="0"/>
        <w:wordWrap/>
        <w:overflowPunct/>
        <w:topLinePunct w:val="0"/>
        <w:autoSpaceDE w:val="0"/>
        <w:autoSpaceDN w:val="0"/>
        <w:bidi w:val="0"/>
        <w:adjustRightInd w:val="0"/>
        <w:snapToGrid w:val="0"/>
        <w:spacing w:line="560" w:lineRule="exact"/>
        <w:ind w:firstLine="602" w:firstLineChars="200"/>
        <w:textAlignment w:val="baseline"/>
        <w:outlineLvl w:val="2"/>
        <w:rPr>
          <w:rFonts w:hint="eastAsia" w:ascii="仿宋" w:hAnsi="仿宋" w:eastAsia="仿宋" w:cs="仿宋"/>
          <w:b/>
          <w:bCs/>
          <w:sz w:val="30"/>
          <w:szCs w:val="30"/>
          <w:lang w:eastAsia="zh-CN"/>
        </w:rPr>
      </w:pPr>
      <w:r>
        <w:rPr>
          <w:rFonts w:hint="eastAsia" w:ascii="仿宋" w:hAnsi="仿宋" w:eastAsia="仿宋" w:cs="仿宋"/>
          <w:b/>
          <w:bCs/>
          <w:sz w:val="30"/>
          <w:szCs w:val="30"/>
          <w:lang w:val="en-US" w:eastAsia="zh-CN"/>
        </w:rPr>
        <w:t>十、</w:t>
      </w:r>
      <w:r>
        <w:rPr>
          <w:rFonts w:hint="eastAsia" w:ascii="仿宋" w:hAnsi="仿宋" w:eastAsia="仿宋" w:cs="仿宋"/>
          <w:b/>
          <w:bCs/>
          <w:sz w:val="30"/>
          <w:szCs w:val="30"/>
          <w:lang w:eastAsia="zh-CN"/>
        </w:rPr>
        <w:t>平台交付周期</w:t>
      </w:r>
    </w:p>
    <w:p w14:paraId="467F9847">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600"/>
        <w:textAlignment w:val="baseline"/>
        <w:outlineLvl w:val="2"/>
        <w:rPr>
          <w:rFonts w:hint="eastAsia" w:ascii="仿宋" w:hAnsi="仿宋" w:eastAsia="仿宋" w:cs="仿宋"/>
          <w:sz w:val="30"/>
          <w:szCs w:val="30"/>
          <w:lang w:eastAsia="zh-CN"/>
        </w:rPr>
      </w:pPr>
      <w:r>
        <w:rPr>
          <w:rFonts w:hint="eastAsia" w:ascii="仿宋" w:hAnsi="仿宋" w:eastAsia="仿宋" w:cs="仿宋"/>
          <w:sz w:val="30"/>
          <w:szCs w:val="30"/>
          <w:lang w:val="en-US" w:eastAsia="zh-CN"/>
        </w:rPr>
        <w:t>中标单位</w:t>
      </w:r>
      <w:r>
        <w:rPr>
          <w:rFonts w:hint="eastAsia" w:ascii="仿宋" w:hAnsi="仿宋" w:eastAsia="仿宋" w:cs="仿宋"/>
          <w:sz w:val="30"/>
          <w:szCs w:val="30"/>
          <w:lang w:eastAsia="zh-CN"/>
        </w:rPr>
        <w:t>须在</w:t>
      </w:r>
      <w:r>
        <w:rPr>
          <w:rFonts w:hint="eastAsia" w:ascii="仿宋" w:hAnsi="仿宋" w:eastAsia="仿宋" w:cs="仿宋"/>
          <w:sz w:val="30"/>
          <w:szCs w:val="30"/>
          <w:lang w:val="en-US" w:eastAsia="zh-CN"/>
        </w:rPr>
        <w:t>合同签订之日起</w:t>
      </w:r>
      <w:r>
        <w:rPr>
          <w:rFonts w:hint="eastAsia" w:ascii="仿宋" w:hAnsi="仿宋" w:eastAsia="仿宋" w:cs="仿宋"/>
          <w:b w:val="0"/>
          <w:sz w:val="30"/>
          <w:szCs w:val="30"/>
          <w:lang w:eastAsia="zh-CN"/>
        </w:rPr>
        <w:t>30个日历日内</w:t>
      </w:r>
      <w:r>
        <w:rPr>
          <w:rFonts w:hint="eastAsia" w:ascii="仿宋" w:hAnsi="仿宋" w:eastAsia="仿宋" w:cs="仿宋"/>
          <w:sz w:val="30"/>
          <w:szCs w:val="30"/>
          <w:lang w:eastAsia="zh-CN"/>
        </w:rPr>
        <w:t>完成</w:t>
      </w:r>
      <w:r>
        <w:rPr>
          <w:rFonts w:hint="eastAsia" w:ascii="仿宋" w:hAnsi="仿宋" w:eastAsia="仿宋" w:cs="仿宋"/>
          <w:sz w:val="30"/>
          <w:szCs w:val="30"/>
          <w:lang w:val="en-US" w:eastAsia="zh-CN"/>
        </w:rPr>
        <w:t>软件系统和硬件设施的</w:t>
      </w:r>
      <w:r>
        <w:rPr>
          <w:rFonts w:hint="eastAsia" w:ascii="仿宋" w:hAnsi="仿宋" w:eastAsia="仿宋" w:cs="仿宋"/>
          <w:sz w:val="30"/>
          <w:szCs w:val="30"/>
          <w:lang w:eastAsia="zh-CN"/>
        </w:rPr>
        <w:t>交付。</w:t>
      </w:r>
    </w:p>
    <w:p w14:paraId="723FAF68">
      <w:pPr>
        <w:numPr>
          <w:ilvl w:val="-1"/>
          <w:numId w:val="0"/>
        </w:numPr>
        <w:spacing w:before="0" w:after="0" w:line="560" w:lineRule="exact"/>
        <w:ind w:left="600" w:leftChars="0" w:firstLine="0" w:firstLineChars="0"/>
        <w:jc w:val="left"/>
        <w:outlineLvl w:val="2"/>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十一、专项实操演练与数据采集能力演练要求</w:t>
      </w:r>
    </w:p>
    <w:p w14:paraId="6AB7151E">
      <w:pPr>
        <w:numPr>
          <w:ilvl w:val="0"/>
          <w:numId w:val="0"/>
        </w:numPr>
        <w:shd w:val="clear" w:fill="auto"/>
        <w:spacing w:before="0" w:after="0" w:line="560" w:lineRule="exact"/>
        <w:ind w:left="0" w:leftChars="0" w:firstLine="600" w:firstLineChars="0"/>
        <w:jc w:val="left"/>
        <w:outlineLvl w:val="2"/>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该项目评审定标后，在空域审批许可的前提下，中标方须配合甲方于国庆期间，在甲方指定的合法作业范围内开展无人机巡检实操演练、飞行调试及全流程数据采集工作，保障平台适配实地巡检场景，完成现场落地能力验证。</w:t>
      </w:r>
    </w:p>
    <w:p w14:paraId="001BD884">
      <w:pPr>
        <w:keepNext w:val="0"/>
        <w:keepLines w:val="0"/>
        <w:pageBreakBefore w:val="0"/>
        <w:widowControl/>
        <w:numPr>
          <w:ilvl w:val="0"/>
          <w:numId w:val="0"/>
        </w:numPr>
        <w:shd w:val="clear" w:fill="auto"/>
        <w:kinsoku w:val="0"/>
        <w:wordWrap/>
        <w:overflowPunct/>
        <w:topLinePunct w:val="0"/>
        <w:autoSpaceDE w:val="0"/>
        <w:autoSpaceDN w:val="0"/>
        <w:bidi w:val="0"/>
        <w:adjustRightInd w:val="0"/>
        <w:snapToGrid w:val="0"/>
        <w:spacing w:line="560" w:lineRule="exact"/>
        <w:ind w:firstLine="0"/>
        <w:textAlignment w:val="baseline"/>
        <w:outlineLvl w:val="2"/>
        <w:rPr>
          <w:rFonts w:hint="default" w:ascii="仿宋" w:hAnsi="仿宋" w:eastAsia="仿宋" w:cs="仿宋"/>
          <w:snapToGrid w:val="0"/>
          <w:color w:val="000000"/>
          <w:kern w:val="0"/>
          <w:sz w:val="30"/>
          <w:szCs w:val="30"/>
          <w:lang w:val="en-US" w:eastAsia="zh-CN" w:bidi="ar-SA"/>
        </w:rPr>
      </w:pPr>
    </w:p>
    <w:sectPr>
      <w:headerReference r:id="rId7" w:type="default"/>
      <w:footerReference r:id="rId8" w:type="default"/>
      <w:pgSz w:w="11900" w:h="16840"/>
      <w:pgMar w:top="2098" w:right="1474" w:bottom="1984" w:left="1587" w:header="0" w:footer="34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55881">
    <w:pPr>
      <w:pStyle w:val="10"/>
      <w:ind w:right="360"/>
      <w:rPr>
        <w:rFonts w:hint="eastAsia"/>
      </w:rPr>
    </w:pPr>
  </w:p>
  <w:p w14:paraId="0032E292">
    <w:pPr>
      <w:pStyle w:val="10"/>
      <w:ind w:right="360"/>
      <w:rPr>
        <w:rFonts w:hint="eastAsia"/>
      </w:rPr>
    </w:pPr>
  </w:p>
  <w:p w14:paraId="559FE572">
    <w:pPr>
      <w:pStyle w:val="10"/>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C897A">
    <w:pPr>
      <w:pStyle w:val="8"/>
      <w:spacing w:line="211" w:lineRule="auto"/>
      <w:ind w:left="376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7CA76">
    <w:pPr>
      <w:pStyle w:val="11"/>
      <w:jc w:val="left"/>
      <w:rPr>
        <w:rFonts w:hint="eastAsia" w:eastAsia="宋体"/>
        <w:b/>
        <w:bCs/>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E9FAC">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6E1757"/>
    <w:multiLevelType w:val="multilevel"/>
    <w:tmpl w:val="226E1757"/>
    <w:lvl w:ilvl="0" w:tentative="0">
      <w:start w:val="1"/>
      <w:numFmt w:val="chineseCountingThousand"/>
      <w:pStyle w:val="2"/>
      <w:suff w:val="space"/>
      <w:lvlText w:val="%1、"/>
      <w:lvlJc w:val="left"/>
      <w:pPr>
        <w:ind w:left="425" w:hanging="425"/>
      </w:pPr>
      <w:rPr>
        <w:rFonts w:hint="eastAsia"/>
      </w:rPr>
    </w:lvl>
    <w:lvl w:ilvl="1" w:tentative="0">
      <w:start w:val="1"/>
      <w:numFmt w:val="decimal"/>
      <w:isLgl/>
      <w:suff w:val="space"/>
      <w:lvlText w:val="%1.%2"/>
      <w:lvlJc w:val="left"/>
      <w:pPr>
        <w:ind w:left="0" w:firstLine="425"/>
      </w:pPr>
      <w:rPr>
        <w:rFonts w:hint="eastAsia"/>
      </w:rPr>
    </w:lvl>
    <w:lvl w:ilvl="2" w:tentative="0">
      <w:start w:val="1"/>
      <w:numFmt w:val="decimal"/>
      <w:isLgl/>
      <w:suff w:val="space"/>
      <w:lvlText w:val="%1.%2.%3"/>
      <w:lvlJc w:val="left"/>
      <w:pPr>
        <w:ind w:left="0" w:firstLine="425"/>
      </w:pPr>
      <w:rPr>
        <w:rFonts w:hint="eastAsia" w:ascii="Times New Roman" w:hAnsi="Times New Roman" w:cs="Times New Roman"/>
        <w:b w:val="0"/>
        <w:bCs w:val="0"/>
        <w:i w:val="0"/>
        <w:iCs w:val="0"/>
        <w:caps w:val="0"/>
        <w:smallCaps w:val="0"/>
        <w:strike w:val="0"/>
        <w:dstrike w:val="0"/>
        <w:vanish w:val="0"/>
        <w:spacing w:val="0"/>
        <w:kern w:val="0"/>
        <w:position w:val="0"/>
        <w:u w:val="none"/>
        <w:vertAlign w:val="baseline"/>
      </w:rPr>
    </w:lvl>
    <w:lvl w:ilvl="3" w:tentative="0">
      <w:start w:val="1"/>
      <w:numFmt w:val="decimal"/>
      <w:isLgl/>
      <w:suff w:val="space"/>
      <w:lvlText w:val="%1.%2.%3.%4"/>
      <w:lvlJc w:val="left"/>
      <w:pPr>
        <w:ind w:left="0" w:firstLine="425"/>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3E4434"/>
    <w:rsid w:val="043F0B79"/>
    <w:rsid w:val="0446241E"/>
    <w:rsid w:val="055D6B4A"/>
    <w:rsid w:val="07160FDF"/>
    <w:rsid w:val="0A3D797F"/>
    <w:rsid w:val="0AE52155"/>
    <w:rsid w:val="0D475DD6"/>
    <w:rsid w:val="0E3F3599"/>
    <w:rsid w:val="0F9D4B33"/>
    <w:rsid w:val="111D60C5"/>
    <w:rsid w:val="112F09EE"/>
    <w:rsid w:val="125A26B0"/>
    <w:rsid w:val="12987309"/>
    <w:rsid w:val="14460F5A"/>
    <w:rsid w:val="14D80AD5"/>
    <w:rsid w:val="152F71D4"/>
    <w:rsid w:val="17124DFC"/>
    <w:rsid w:val="17C32242"/>
    <w:rsid w:val="180A4F10"/>
    <w:rsid w:val="1A295205"/>
    <w:rsid w:val="1B736E69"/>
    <w:rsid w:val="1D2211E3"/>
    <w:rsid w:val="2470106E"/>
    <w:rsid w:val="25EB21CA"/>
    <w:rsid w:val="2624157D"/>
    <w:rsid w:val="26A93E4C"/>
    <w:rsid w:val="30532885"/>
    <w:rsid w:val="33F20B97"/>
    <w:rsid w:val="35BE10C4"/>
    <w:rsid w:val="35DA5690"/>
    <w:rsid w:val="36F106F5"/>
    <w:rsid w:val="37A23FE5"/>
    <w:rsid w:val="389E45F0"/>
    <w:rsid w:val="41AC774B"/>
    <w:rsid w:val="43104073"/>
    <w:rsid w:val="43EB4FA8"/>
    <w:rsid w:val="45D868C9"/>
    <w:rsid w:val="47F43450"/>
    <w:rsid w:val="47F941DE"/>
    <w:rsid w:val="4A08695A"/>
    <w:rsid w:val="4A7B5B1A"/>
    <w:rsid w:val="4C2F5239"/>
    <w:rsid w:val="4D892A45"/>
    <w:rsid w:val="4FA709C3"/>
    <w:rsid w:val="50BB64D4"/>
    <w:rsid w:val="512D0889"/>
    <w:rsid w:val="58B5008C"/>
    <w:rsid w:val="5C3C48C7"/>
    <w:rsid w:val="5D2015DA"/>
    <w:rsid w:val="5E9E625B"/>
    <w:rsid w:val="5F2F6EA3"/>
    <w:rsid w:val="5FB62AD3"/>
    <w:rsid w:val="62375B60"/>
    <w:rsid w:val="62B135DF"/>
    <w:rsid w:val="62DA12E3"/>
    <w:rsid w:val="63685650"/>
    <w:rsid w:val="64FF4C1C"/>
    <w:rsid w:val="651A24DE"/>
    <w:rsid w:val="65731073"/>
    <w:rsid w:val="66A35541"/>
    <w:rsid w:val="67544B35"/>
    <w:rsid w:val="675D6F57"/>
    <w:rsid w:val="69A91168"/>
    <w:rsid w:val="6A4A3C44"/>
    <w:rsid w:val="6C183A43"/>
    <w:rsid w:val="6D596A91"/>
    <w:rsid w:val="709D149E"/>
    <w:rsid w:val="7BDD6595"/>
    <w:rsid w:val="7BE924F9"/>
    <w:rsid w:val="7C7E5C5D"/>
    <w:rsid w:val="7D5878B1"/>
    <w:rsid w:val="7EB53916"/>
    <w:rsid w:val="FBEE7F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widowControl/>
      <w:numPr>
        <w:ilvl w:val="0"/>
        <w:numId w:val="1"/>
      </w:numPr>
      <w:tabs>
        <w:tab w:val="left" w:pos="432"/>
      </w:tabs>
      <w:spacing w:line="360" w:lineRule="auto"/>
      <w:jc w:val="left"/>
      <w:outlineLvl w:val="0"/>
    </w:pPr>
    <w:rPr>
      <w:rFonts w:ascii="黑体"/>
      <w:b/>
      <w:kern w:val="0"/>
      <w:sz w:val="24"/>
      <w:szCs w:val="20"/>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next w:val="9"/>
    <w:semiHidden/>
    <w:qFormat/>
    <w:uiPriority w:val="0"/>
    <w:rPr>
      <w:rFonts w:ascii="宋体" w:hAnsi="宋体" w:eastAsia="宋体" w:cs="宋体"/>
      <w:sz w:val="18"/>
      <w:szCs w:val="18"/>
      <w:lang w:val="en-US" w:eastAsia="en-US" w:bidi="ar-SA"/>
    </w:rPr>
  </w:style>
  <w:style w:type="paragraph" w:styleId="9">
    <w:name w:val="Body Text 2"/>
    <w:basedOn w:val="1"/>
    <w:qFormat/>
    <w:uiPriority w:val="0"/>
    <w:pPr>
      <w:spacing w:line="360" w:lineRule="auto"/>
    </w:pPr>
    <w:rPr>
      <w:sz w:val="24"/>
    </w:rPr>
  </w:style>
  <w:style w:type="paragraph" w:styleId="10">
    <w:name w:val="footer"/>
    <w:basedOn w:val="1"/>
    <w:unhideWhenUsed/>
    <w:qFormat/>
    <w:uiPriority w:val="99"/>
    <w:pPr>
      <w:tabs>
        <w:tab w:val="center" w:pos="4153"/>
        <w:tab w:val="right" w:pos="8306"/>
      </w:tabs>
      <w:snapToGrid w:val="0"/>
      <w:spacing w:line="240" w:lineRule="auto"/>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Title"/>
    <w:basedOn w:val="1"/>
    <w:next w:val="1"/>
    <w:qFormat/>
    <w:uiPriority w:val="10"/>
    <w:pPr>
      <w:spacing w:before="240" w:after="60"/>
      <w:jc w:val="center"/>
      <w:outlineLvl w:val="0"/>
    </w:pPr>
    <w:rPr>
      <w:rFonts w:ascii="Calibri Light" w:hAnsi="Calibri Light" w:cs="黑体"/>
      <w:b/>
      <w:bCs/>
      <w:sz w:val="32"/>
      <w:szCs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39e7165e-a8d8-407c-906b-61f5a9c58b42</errorID>
      <errorWord>下</errorWord>
      <group>L1_Word</group>
      <groupName>字词问题</groupName>
      <ability>L2_Typo</ability>
      <abilityName>字词错误</abilityName>
      <candidateList>
        <item>下简</item>
      </candidateList>
      <explain/>
      <paraID>3FECE88E</paraID>
      <start>25</start>
      <end>27</end>
      <status>modified</status>
      <modifiedWord>下简</modifiedWord>
      <trackRevisions>false</trackRevisions>
    </reviewItem>
    <reviewItem>
      <errorID>1d27462d-2c07-4976-bdce-f146c6d81b30</errorID>
      <errorWord>下</errorWord>
      <group>L1_Word</group>
      <groupName>字词问题</groupName>
      <ability>L2_Typo</ability>
      <abilityName>字词错误</abilityName>
      <candidateList>
        <item>下简</item>
      </candidateList>
      <explain/>
      <paraID>2B7FDD63</paraID>
      <start>12</start>
      <end>14</end>
      <status>modified</status>
      <modifiedWord>下简</modifiedWord>
      <trackRevisions>false</trackRevisions>
    </reviewItem>
    <reviewItem>
      <errorID>254362f2-9837-4496-bede-dd9270558874</errorID>
      <errorWord>开运</errorWord>
      <group>L1_Word</group>
      <groupName>字词问题</groupName>
      <ability>L2_Typo</ability>
      <abilityName>字词错误</abilityName>
      <candidateList>
        <item>运</item>
      </candidateList>
      <explain/>
      <paraID>63BEDC97</paraID>
      <start>3</start>
      <end>5</end>
      <status>ignored</status>
      <modifiedWord/>
      <trackRevisions>false</trackRevisions>
    </reviewItem>
    <reviewItem>
      <errorID>3dc9e3b4-2376-4b9c-8c41-7f62e27cceb9</errorID>
      <errorWord>告警预警信息</errorWord>
      <group>L1_Grammar</group>
      <groupName>语法问题</groupName>
      <ability>L2_Grammar</ability>
      <abilityName>语法错误</abilityName>
      <candidateList>
        <item>告警信息</item>
      </candidateList>
      <explain/>
      <paraID>5B937EB1</paraID>
      <start>7</start>
      <end>13</end>
      <status>ignored</status>
      <modifiedWord/>
      <trackRevisions>false</trackRevisions>
    </reviewItem>
    <reviewItem>
      <errorID>3d25ffed-46fe-4f96-b518-8fb6e43de0af</errorID>
      <errorWord>箱</errorWord>
      <group>L1_Word</group>
      <groupName>字词问题</groupName>
      <ability>L2_Typo</ability>
      <abilityName>字词错误</abilityName>
      <candidateList>
        <item>箱体</item>
      </candidateList>
      <explain/>
      <paraID> E72FA26</paraID>
      <start>40</start>
      <end>41</end>
      <status>ignored</status>
      <modifiedWord/>
      <trackRevisions>false</trackRevisions>
    </reviewItem>
    <reviewItem>
      <errorID>ba7a1aa1-4e0e-418b-987a-92d59cc695af</errorID>
      <errorWord>检测</errorWord>
      <group>L1_Word</group>
      <groupName>字词问题</groupName>
      <ability>L2_Typo</ability>
      <abilityName>字词错误</abilityName>
      <candidateList>
        <item>的检测</item>
      </candidateList>
      <explain/>
      <paraID>64A6D8BD</paraID>
      <start>54</start>
      <end>56</end>
      <status>ignored</status>
      <modifiedWord/>
      <trackRevisions>false</trackRevisions>
    </reviewItem>
    <reviewItem>
      <errorID>f7659d7c-c070-4d85-b261-48a78dbff056</errorID>
      <errorWord>开运在</errorWord>
      <group>L1_Word</group>
      <groupName>字词问题</groupName>
      <ability>L2_Typo</ability>
      <abilityName>字词错误</abilityName>
      <candidateList>
        <item>开运</item>
      </candidateList>
      <explain/>
      <paraID>24B63398</paraID>
      <start>3</start>
      <end>6</end>
      <status>ignored</status>
      <modifiedWord/>
      <trackRevisions>false</trackRevisions>
    </reviewItem>
    <reviewItem>
      <errorID>de8edefa-13dc-47cb-ac75-47e23634d060</errorID>
      <errorWord>回复，并</errorWord>
      <group>L1_Word</group>
      <groupName>字词问题</groupName>
      <ability>L2_Typo</ability>
      <abilityName>字词错误</abilityName>
      <candidateList>
        <item>并回复，</item>
      </candidateList>
      <explain/>
      <paraID>24B63398</paraID>
      <start>21</start>
      <end>25</end>
      <status>ignored</status>
      <modifiedWord/>
      <trackRevisions>false</trackRevisions>
    </reviewItem>
    <reviewItem>
      <errorID>998e07d1-07b6-4ddc-8029-cc79d4a70a4d</errorID>
      <errorWord>验收</errorWord>
      <group>L1_Word</group>
      <groupName>字词问题</groupName>
      <ability>L2_Typo</ability>
      <abilityName>字词错误</abilityName>
      <candidateList>
        <item> 验收</item>
      </candidateList>
      <explain/>
      <paraID>5F5BCC85</paraID>
      <start>3</start>
      <end>6</end>
      <status>modified</status>
      <modifiedWord> 验收</modifiedWord>
      <trackRevisions>false</trackRevisions>
    </reviewItem>
    <reviewItem>
      <errorID>39a7a05f-c8dc-4a61-af95-3b232f9e4294</errorID>
      <errorWord>无人机</errorWord>
      <group>L1_Word</group>
      <groupName>字词问题</groupName>
      <ability>L2_Typo</ability>
      <abilityName>字词错误</abilityName>
      <candidateList>
        <item> 无人机</item>
      </candidateList>
      <explain/>
      <paraID>7E1AF759</paraID>
      <start>5</start>
      <end>9</end>
      <status>modified</status>
      <modifiedWord> 无人机</modifiedWord>
      <trackRevisions>false</trackRevisions>
    </reviewItem>
    <reviewItem>
      <errorID>160c7602-dd15-47ca-b618-8f50c6594fe0</errorID>
      <errorWord>对于</errorWord>
      <group>L1_Word</group>
      <groupName>字词问题</groupName>
      <ability>L2_Typo</ability>
      <abilityName>字词错误</abilityName>
      <candidateList>
        <item>对</item>
      </candidateList>
      <explain/>
      <paraID>4E948278</paraID>
      <start>10</start>
      <end>11</end>
      <status>modified</status>
      <modifiedWord>对</modifiedWord>
      <trackRevisions>false</trackRevisions>
    </reviewItem>
    <reviewItem>
      <errorID>8a8406ad-876a-4f03-96f4-a2e06509c412</errorID>
      <errorWord>飞</errorWord>
      <group>L1_Word</group>
      <groupName>字词问题</groupName>
      <ability>L2_Typo</ability>
      <abilityName>字词错误</abilityName>
      <candidateList>
        <item> 飞</item>
      </candidateList>
      <explain/>
      <paraID>3735D30B</paraID>
      <start>5</start>
      <end>7</end>
      <status>modified</status>
      <modifiedWord> 飞</modifiedWord>
      <trackRevisions>false</trackRevisions>
    </reviewItem>
    <reviewItem>
      <errorID>534b3e40-b0c8-4125-bd6e-3ab5b20b7424</errorID>
      <errorWord>里</errorWord>
      <group>L1_Word</group>
      <groupName>字词问题</groupName>
      <ability>L2_Typo</ability>
      <abilityName>字词错误</abilityName>
      <candidateList>
        <item>中</item>
      </candidateList>
      <explain>存在字形相近字词的误用。</explain>
      <paraID> 3881672</paraID>
      <start>62</start>
      <end>63</end>
      <status>ignored</status>
      <modifiedWord/>
      <trackRevisions>false</trackRevisions>
    </reviewItem>
    <reviewItem>
      <errorID>495e01ba-3029-45b2-80fa-77439d0f5424</errorID>
      <errorWord>结算</errorWord>
      <group>L1_Word</group>
      <groupName>字词问题</groupName>
      <ability>L2_Typo</ability>
      <abilityName>字词错误</abilityName>
      <candidateList>
        <item> 结算</item>
      </candidateList>
      <explain/>
      <paraID>4E2A40FF</paraID>
      <start>3</start>
      <end>6</end>
      <status>modified</status>
      <modifiedWord> 结算</modifiedWord>
      <trackRevisions>false</trackRevisions>
    </reviewItem>
    <reviewItem>
      <errorID>fe622dc4-cfd0-42f9-acd8-32726475fc94</errorID>
      <errorWord>若</errorWord>
      <group>L1_Word</group>
      <groupName>字词问题</groupName>
      <ability>L2_Typo</ability>
      <abilityName>字词错误</abilityName>
      <candidateList>
        <item> 若</item>
      </candidateList>
      <explain/>
      <paraID>26A178EA</paraID>
      <start>5</start>
      <end>7</end>
      <status>modified</status>
      <modifiedWord> 若</modifiedWord>
      <trackRevisions>false</trackRevisions>
    </reviewItem>
    <reviewItem>
      <errorID>8ba6e437-2348-45de-af20-e19b7481b05b</errorID>
      <errorWord>8.1.1</errorWord>
      <group>L1_Other</group>
      <groupName>其他问题</groupName>
      <ability>L2_Consistency</ability>
      <abilityName>一致性检查</abilityName>
      <candidateList>
        <item>9.1.1</item>
      </candidateList>
      <explain>数字一致性错误，原文对应验收章节为9.1，编号应为9.1.1</explain>
      <paraID>26A178EA</paraID>
      <start>19</start>
      <end>24</end>
      <status>modified</status>
      <modifiedWord>9.1.1</modifiedWord>
      <trackRevisions>false</trackRevisions>
    </reviewItem>
    <reviewItem>
      <errorID>c2a978cd-59b4-4e3f-8c33-a75dfbfcd5f1</errorID>
      <errorWord>验收</errorWord>
      <group>L1_Word</group>
      <groupName>字词问题</groupName>
      <ability>L2_Typo</ability>
      <abilityName>字词错误</abilityName>
      <candidateList>
        <item> 验收</item>
      </candidateList>
      <explain/>
      <paraID>54433CA4</paraID>
      <start>5</start>
      <end>8</end>
      <status>modified</status>
      <modifiedWord> 验收</modifiedWord>
      <trackRevisions>false</trackRevisions>
    </reviewItem>
    <reviewItem>
      <errorID>013a5256-c6f4-4f41-996a-425b8061ce9d</errorID>
      <errorWord>尾款支付</errorWord>
      <group>L1_Grammar</group>
      <groupName>语法问题</groupName>
      <ability>L2_Grammar</ability>
      <abilityName>语法错误</abilityName>
      <candidateList>
        <item>尾款</item>
      </candidateList>
      <explain/>
      <paraID>54433CA4</paraID>
      <start>318</start>
      <end>320</end>
      <status>modified</status>
      <modifiedWord>尾款</modifiedWord>
      <trackRevisions>false</trackRevisions>
    </reviewItem>
  </reviewItems>
  <config/>
</contractReview>
</file>

<file path=customXml/itemProps1.xml><?xml version="1.0" encoding="utf-8"?>
<ds:datastoreItem xmlns:ds="http://schemas.openxmlformats.org/officeDocument/2006/customXml" ds:itemID="{84ce69dd-22c0-440d-bff9-0f7caeda2a62}">
  <ds:schemaRefs/>
</ds:datastoreItem>
</file>

<file path=docProps/app.xml><?xml version="1.0" encoding="utf-8"?>
<Properties xmlns="http://schemas.openxmlformats.org/officeDocument/2006/extended-properties" xmlns:vt="http://schemas.openxmlformats.org/officeDocument/2006/docPropsVTypes">
  <Pages>16</Pages>
  <Words>6432</Words>
  <Characters>6809</Characters>
  <TotalTime>231</TotalTime>
  <ScaleCrop>false</ScaleCrop>
  <LinksUpToDate>false</LinksUpToDate>
  <CharactersWithSpaces>6968</CharactersWithSpaces>
  <Application>WPS Office_12.1.0.28599_F1E327BC-269C-435d-A152-05C5408002CA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2025-03-20T19:15:00Z</dcterms:created>
  <dc:creator>110884</dc:creator>
  <cp:lastModifiedBy>Bingo chen</cp:lastModifiedBy>
  <cp:lastPrinted>2026-09-18T06:45:00Z</cp:lastPrinted>
  <dcterms:modified xsi:type="dcterms:W3CDTF">2026-09-18T10:15:23Z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2025-03-20T11:15:30Z</vt:filetime>
  </property>
  <property fmtid="{D5CDD505-2E9C-101B-9397-08002B2CF9AE}" pid="4" name="UsrData">
    <vt:lpwstr>67db884e1087f5001f80c90ewl</vt:lpwstr>
  </property>
  <property fmtid="{D5CDD505-2E9C-101B-9397-08002B2CF9AE}" pid="5" name="KSOTemplateDocerSaveRecord">
    <vt:lpwstr>eyJoZGlkIjoiNzhiNzZhOTM0NzhkZTg0MjgzNWFhZWMwNzU4NDM1NzEiLCJ1c2VySWQiOiI1MDQyNjE1NTIifQ==</vt:lpwstr>
  </property>
  <property fmtid="{D5CDD505-2E9C-101B-9397-08002B2CF9AE}" pid="6" name="KSOProductBuildVer">
    <vt:lpwstr>2052-12.1.0.28599</vt:lpwstr>
  </property>
  <property fmtid="{D5CDD505-2E9C-101B-9397-08002B2CF9AE}" pid="7" name="ICV">
    <vt:lpwstr>EB668CE3444F4EB88D46A9D9B5E40373_13</vt:lpwstr>
  </property>
</Properties>
</file>