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95F1C">
      <w:pPr>
        <w:shd w:val="clear"/>
        <w:spacing w:before="480" w:after="480" w:line="288" w:lineRule="auto"/>
        <w:ind w:left="0"/>
        <w:jc w:val="center"/>
        <w:rPr>
          <w:rFonts w:hint="eastAsia" w:ascii="Arial" w:hAnsi="Arial" w:eastAsia="等线" w:cs="Arial"/>
          <w:b/>
          <w:sz w:val="52"/>
          <w:highlight w:val="none"/>
        </w:rPr>
      </w:pPr>
    </w:p>
    <w:p w14:paraId="21BE9C68">
      <w:pPr>
        <w:shd w:val="clear"/>
        <w:spacing w:before="480" w:after="480" w:line="288" w:lineRule="auto"/>
        <w:ind w:left="0"/>
        <w:jc w:val="center"/>
        <w:rPr>
          <w:rFonts w:ascii="Arial" w:hAnsi="Arial" w:eastAsia="等线" w:cs="Arial"/>
          <w:b/>
          <w:sz w:val="52"/>
          <w:highlight w:val="none"/>
        </w:rPr>
      </w:pPr>
      <w:r>
        <w:rPr>
          <w:rFonts w:hint="eastAsia" w:ascii="Arial" w:hAnsi="Arial" w:eastAsia="等线" w:cs="Arial"/>
          <w:b/>
          <w:sz w:val="52"/>
          <w:highlight w:val="none"/>
        </w:rPr>
        <w:drawing>
          <wp:anchor distT="0" distB="0" distL="114300" distR="114300" simplePos="0" relativeHeight="251660288" behindDoc="0" locked="0" layoutInCell="1" allowOverlap="1">
            <wp:simplePos x="0" y="0"/>
            <wp:positionH relativeFrom="column">
              <wp:posOffset>1615440</wp:posOffset>
            </wp:positionH>
            <wp:positionV relativeFrom="paragraph">
              <wp:posOffset>-370840</wp:posOffset>
            </wp:positionV>
            <wp:extent cx="1728470" cy="1741170"/>
            <wp:effectExtent l="0" t="0" r="5080" b="11430"/>
            <wp:wrapTopAndBottom/>
            <wp:docPr id="8" name="图片 2" descr="57f1b4b537617c287006ce3410a1d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57f1b4b537617c287006ce3410a1da7"/>
                    <pic:cNvPicPr>
                      <a:picLocks noChangeAspect="1"/>
                    </pic:cNvPicPr>
                  </pic:nvPicPr>
                  <pic:blipFill>
                    <a:blip r:embed="rId5"/>
                    <a:stretch>
                      <a:fillRect/>
                    </a:stretch>
                  </pic:blipFill>
                  <pic:spPr>
                    <a:xfrm>
                      <a:off x="0" y="0"/>
                      <a:ext cx="1728470" cy="1741170"/>
                    </a:xfrm>
                    <a:prstGeom prst="rect">
                      <a:avLst/>
                    </a:prstGeom>
                    <a:noFill/>
                    <a:ln>
                      <a:noFill/>
                    </a:ln>
                  </pic:spPr>
                </pic:pic>
              </a:graphicData>
            </a:graphic>
          </wp:anchor>
        </w:drawing>
      </w:r>
      <w:r>
        <w:rPr>
          <w:rFonts w:hint="eastAsia" w:ascii="Arial" w:hAnsi="Arial" w:eastAsia="等线" w:cs="Arial"/>
          <w:b/>
          <w:sz w:val="52"/>
          <w:highlight w:val="none"/>
        </w:rPr>
        <w:t>珠海正方产业开发运营有限公司无人机飞控平台和业务后台开发（含硬件）</w:t>
      </w:r>
      <w:r>
        <w:rPr>
          <w:rFonts w:ascii="Arial" w:hAnsi="Arial" w:eastAsia="等线" w:cs="Arial"/>
          <w:b/>
          <w:sz w:val="52"/>
          <w:highlight w:val="none"/>
        </w:rPr>
        <w:t>合同书</w:t>
      </w:r>
    </w:p>
    <w:p w14:paraId="0F1040B3">
      <w:pPr>
        <w:shd w:val="clear"/>
        <w:autoSpaceDE w:val="0"/>
        <w:autoSpaceDN w:val="0"/>
        <w:adjustRightInd w:val="0"/>
        <w:spacing w:line="360" w:lineRule="auto"/>
        <w:ind w:firstLine="482" w:firstLineChars="200"/>
        <w:jc w:val="left"/>
        <w:rPr>
          <w:rFonts w:ascii="宋体" w:hAnsi="宋体"/>
          <w:b/>
          <w:sz w:val="24"/>
          <w:highlight w:val="none"/>
        </w:rPr>
      </w:pPr>
    </w:p>
    <w:p w14:paraId="5122CDD8">
      <w:pPr>
        <w:shd w:val="clear"/>
        <w:autoSpaceDE w:val="0"/>
        <w:autoSpaceDN w:val="0"/>
        <w:adjustRightInd w:val="0"/>
        <w:spacing w:line="360" w:lineRule="auto"/>
        <w:ind w:firstLine="562" w:firstLineChars="200"/>
        <w:jc w:val="left"/>
        <w:rPr>
          <w:rFonts w:hint="eastAsia" w:ascii="宋体" w:hAnsi="宋体"/>
          <w:b/>
          <w:sz w:val="28"/>
          <w:szCs w:val="28"/>
          <w:highlight w:val="none"/>
          <w:lang w:val="en-US" w:eastAsia="zh-CN"/>
        </w:rPr>
      </w:pPr>
      <w:r>
        <w:rPr>
          <w:rFonts w:hint="eastAsia" w:ascii="宋体" w:hAnsi="宋体"/>
          <w:b/>
          <w:sz w:val="28"/>
          <w:szCs w:val="28"/>
          <w:highlight w:val="none"/>
        </w:rPr>
        <w:t>合同编号：</w:t>
      </w:r>
      <w:r>
        <w:rPr>
          <w:rFonts w:hint="eastAsia" w:ascii="宋体" w:hAnsi="宋体"/>
          <w:b/>
          <w:sz w:val="28"/>
          <w:szCs w:val="28"/>
          <w:highlight w:val="none"/>
          <w:lang w:val="en-US" w:eastAsia="zh-CN"/>
        </w:rPr>
        <w:t xml:space="preserve"> </w:t>
      </w:r>
    </w:p>
    <w:p w14:paraId="6BF7931F">
      <w:pPr>
        <w:shd w:val="clear"/>
        <w:autoSpaceDE w:val="0"/>
        <w:autoSpaceDN w:val="0"/>
        <w:adjustRightInd w:val="0"/>
        <w:spacing w:line="360" w:lineRule="auto"/>
        <w:ind w:firstLine="562" w:firstLineChars="200"/>
        <w:jc w:val="left"/>
        <w:rPr>
          <w:rFonts w:ascii="宋体" w:hAnsi="宋体"/>
          <w:b/>
          <w:sz w:val="28"/>
          <w:szCs w:val="28"/>
          <w:highlight w:val="none"/>
        </w:rPr>
      </w:pPr>
      <w:r>
        <w:rPr>
          <w:rFonts w:hint="eastAsia" w:ascii="宋体" w:hAnsi="宋体"/>
          <w:b/>
          <w:sz w:val="28"/>
          <w:szCs w:val="28"/>
          <w:highlight w:val="none"/>
        </w:rPr>
        <w:t>甲    方： 珠海正方产业开发运营有限公司</w:t>
      </w:r>
    </w:p>
    <w:p w14:paraId="13F0CE1B">
      <w:pPr>
        <w:shd w:val="clear"/>
        <w:autoSpaceDE w:val="0"/>
        <w:autoSpaceDN w:val="0"/>
        <w:adjustRightInd w:val="0"/>
        <w:spacing w:line="360" w:lineRule="auto"/>
        <w:ind w:firstLine="562" w:firstLineChars="200"/>
        <w:jc w:val="left"/>
        <w:rPr>
          <w:rFonts w:hint="eastAsia" w:ascii="宋体" w:hAnsi="宋体"/>
          <w:b/>
          <w:sz w:val="28"/>
          <w:szCs w:val="28"/>
          <w:highlight w:val="none"/>
          <w:lang w:val="en-US" w:eastAsia="zh-CN"/>
        </w:rPr>
      </w:pPr>
      <w:r>
        <w:rPr>
          <w:rFonts w:hint="eastAsia" w:ascii="宋体" w:hAnsi="宋体"/>
          <w:b/>
          <w:sz w:val="28"/>
          <w:szCs w:val="28"/>
          <w:highlight w:val="none"/>
        </w:rPr>
        <w:t>乙    方：</w:t>
      </w:r>
      <w:r>
        <w:rPr>
          <w:rFonts w:hint="eastAsia" w:ascii="宋体" w:hAnsi="宋体"/>
          <w:b/>
          <w:sz w:val="28"/>
          <w:szCs w:val="28"/>
          <w:highlight w:val="none"/>
          <w:lang w:val="en-US" w:eastAsia="zh-CN"/>
        </w:rPr>
        <w:t xml:space="preserve"> </w:t>
      </w:r>
    </w:p>
    <w:p w14:paraId="3BB5C080">
      <w:pPr>
        <w:shd w:val="clear"/>
        <w:autoSpaceDE w:val="0"/>
        <w:autoSpaceDN w:val="0"/>
        <w:adjustRightInd w:val="0"/>
        <w:spacing w:line="360" w:lineRule="auto"/>
        <w:ind w:firstLine="562" w:firstLineChars="200"/>
        <w:jc w:val="left"/>
        <w:rPr>
          <w:rFonts w:ascii="宋体" w:hAnsi="宋体"/>
          <w:b/>
          <w:sz w:val="28"/>
          <w:szCs w:val="28"/>
          <w:highlight w:val="none"/>
        </w:rPr>
      </w:pPr>
      <w:r>
        <w:rPr>
          <w:rFonts w:hint="eastAsia" w:ascii="宋体" w:hAnsi="宋体"/>
          <w:b/>
          <w:sz w:val="28"/>
          <w:szCs w:val="28"/>
          <w:highlight w:val="none"/>
        </w:rPr>
        <w:t>签订地点：珠海市</w:t>
      </w:r>
      <w:r>
        <w:rPr>
          <w:rFonts w:ascii="宋体" w:hAnsi="宋体"/>
          <w:b/>
          <w:sz w:val="28"/>
          <w:szCs w:val="28"/>
          <w:highlight w:val="none"/>
        </w:rPr>
        <w:t>香洲区</w:t>
      </w:r>
    </w:p>
    <w:p w14:paraId="061EB36F">
      <w:pPr>
        <w:shd w:val="clear"/>
        <w:autoSpaceDE w:val="0"/>
        <w:autoSpaceDN w:val="0"/>
        <w:adjustRightInd w:val="0"/>
        <w:spacing w:line="360" w:lineRule="auto"/>
        <w:ind w:firstLine="562" w:firstLineChars="200"/>
        <w:jc w:val="left"/>
        <w:rPr>
          <w:rFonts w:ascii="宋体" w:hAnsi="宋体"/>
          <w:b/>
          <w:sz w:val="28"/>
          <w:szCs w:val="28"/>
          <w:highlight w:val="none"/>
        </w:rPr>
      </w:pPr>
      <w:r>
        <w:rPr>
          <w:rFonts w:hint="eastAsia" w:ascii="宋体" w:hAnsi="宋体"/>
          <w:b/>
          <w:sz w:val="28"/>
          <w:szCs w:val="28"/>
          <w:highlight w:val="none"/>
        </w:rPr>
        <w:t>签订时间：</w:t>
      </w:r>
      <w:r>
        <w:rPr>
          <w:rFonts w:ascii="宋体" w:hAnsi="宋体"/>
          <w:b/>
          <w:sz w:val="28"/>
          <w:szCs w:val="28"/>
          <w:highlight w:val="none"/>
        </w:rPr>
        <w:t xml:space="preserve"> </w:t>
      </w:r>
      <w:r>
        <w:rPr>
          <w:rFonts w:hint="eastAsia" w:ascii="宋体" w:hAnsi="宋体"/>
          <w:b/>
          <w:sz w:val="28"/>
          <w:szCs w:val="28"/>
          <w:highlight w:val="none"/>
          <w:lang w:val="en-US" w:eastAsia="zh-CN"/>
        </w:rPr>
        <w:t xml:space="preserve">   </w:t>
      </w:r>
      <w:r>
        <w:rPr>
          <w:rFonts w:ascii="宋体" w:hAnsi="宋体"/>
          <w:b/>
          <w:sz w:val="28"/>
          <w:szCs w:val="28"/>
          <w:highlight w:val="none"/>
        </w:rPr>
        <w:t xml:space="preserve"> </w:t>
      </w:r>
      <w:r>
        <w:rPr>
          <w:rFonts w:hint="eastAsia" w:ascii="宋体" w:hAnsi="宋体"/>
          <w:b/>
          <w:sz w:val="28"/>
          <w:szCs w:val="28"/>
          <w:highlight w:val="none"/>
        </w:rPr>
        <w:t>年</w:t>
      </w:r>
      <w:r>
        <w:rPr>
          <w:rFonts w:hint="eastAsia" w:ascii="宋体" w:hAnsi="宋体"/>
          <w:b/>
          <w:sz w:val="28"/>
          <w:szCs w:val="28"/>
          <w:highlight w:val="none"/>
          <w:lang w:val="en-US" w:eastAsia="zh-CN"/>
        </w:rPr>
        <w:t xml:space="preserve">   </w:t>
      </w:r>
      <w:r>
        <w:rPr>
          <w:rFonts w:ascii="宋体" w:hAnsi="宋体"/>
          <w:b/>
          <w:sz w:val="28"/>
          <w:szCs w:val="28"/>
          <w:highlight w:val="none"/>
        </w:rPr>
        <w:t xml:space="preserve">  </w:t>
      </w:r>
      <w:r>
        <w:rPr>
          <w:rFonts w:hint="eastAsia" w:ascii="宋体" w:hAnsi="宋体"/>
          <w:b/>
          <w:sz w:val="28"/>
          <w:szCs w:val="28"/>
          <w:highlight w:val="none"/>
        </w:rPr>
        <w:t>月</w:t>
      </w:r>
      <w:r>
        <w:rPr>
          <w:rFonts w:ascii="宋体" w:hAnsi="宋体"/>
          <w:b/>
          <w:sz w:val="28"/>
          <w:szCs w:val="28"/>
          <w:highlight w:val="none"/>
        </w:rPr>
        <w:t xml:space="preserve">  </w:t>
      </w:r>
      <w:r>
        <w:rPr>
          <w:rFonts w:hint="eastAsia" w:ascii="宋体" w:hAnsi="宋体"/>
          <w:b/>
          <w:sz w:val="28"/>
          <w:szCs w:val="28"/>
          <w:highlight w:val="none"/>
          <w:lang w:val="en-US" w:eastAsia="zh-CN"/>
        </w:rPr>
        <w:t xml:space="preserve">   </w:t>
      </w:r>
      <w:r>
        <w:rPr>
          <w:rFonts w:hint="eastAsia" w:ascii="宋体" w:hAnsi="宋体"/>
          <w:b/>
          <w:sz w:val="28"/>
          <w:szCs w:val="28"/>
          <w:highlight w:val="none"/>
        </w:rPr>
        <w:t>日</w:t>
      </w:r>
    </w:p>
    <w:p w14:paraId="5D8A4E5A">
      <w:pPr>
        <w:shd w:val="clear"/>
        <w:spacing w:before="120" w:after="120" w:line="288" w:lineRule="auto"/>
        <w:ind w:left="0"/>
        <w:jc w:val="left"/>
        <w:rPr>
          <w:rFonts w:ascii="Arial" w:hAnsi="Arial" w:eastAsia="等线" w:cs="Arial"/>
          <w:sz w:val="28"/>
          <w:szCs w:val="28"/>
          <w:highlight w:val="none"/>
        </w:rPr>
        <w:sectPr>
          <w:footerReference r:id="rId3" w:type="default"/>
          <w:pgSz w:w="11905" w:h="16840"/>
          <w:pgBorders>
            <w:top w:val="none" w:sz="0" w:space="0"/>
            <w:left w:val="none" w:sz="0" w:space="0"/>
            <w:bottom w:val="none" w:sz="0" w:space="0"/>
            <w:right w:val="none" w:sz="0" w:space="0"/>
          </w:pgBorders>
          <w:pgNumType w:fmt="decimal"/>
          <w:cols w:space="720" w:num="1"/>
        </w:sectPr>
      </w:pPr>
    </w:p>
    <w:p w14:paraId="75FD753B">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0" w:firstLineChars="200"/>
        <w:jc w:val="left"/>
        <w:textAlignment w:val="auto"/>
        <w:outlineLvl w:val="1"/>
        <w:rPr>
          <w:rFonts w:hint="eastAsia" w:ascii="宋体" w:hAnsi="宋体" w:eastAsia="宋体" w:cs="宋体"/>
          <w:sz w:val="24"/>
          <w:szCs w:val="24"/>
          <w:highlight w:val="none"/>
        </w:rPr>
      </w:pPr>
      <w:bookmarkStart w:id="0" w:name="heading_1"/>
      <w:r>
        <w:rPr>
          <w:rFonts w:hint="eastAsia" w:ascii="宋体" w:hAnsi="宋体" w:eastAsia="宋体" w:cs="宋体"/>
          <w:sz w:val="24"/>
          <w:szCs w:val="24"/>
          <w:highlight w:val="none"/>
        </w:rPr>
        <w:t>根据《中华人民共和国民法典》、国家知识产权及软件管理的有关法律法规的规定，甲乙双方经友好协商，本着平等、自愿、公平和诚实守信的原则，就甲方向乙方</w:t>
      </w:r>
      <w:r>
        <w:rPr>
          <w:rFonts w:hint="eastAsia" w:ascii="宋体" w:hAnsi="宋体" w:eastAsia="宋体" w:cs="宋体"/>
          <w:sz w:val="24"/>
          <w:szCs w:val="24"/>
          <w:highlight w:val="none"/>
          <w:lang w:val="en-US" w:eastAsia="zh-CN"/>
        </w:rPr>
        <w:t>购买</w:t>
      </w:r>
      <w:r>
        <w:rPr>
          <w:rFonts w:hint="eastAsia" w:ascii="宋体" w:hAnsi="宋体" w:eastAsia="宋体" w:cs="宋体"/>
          <w:sz w:val="24"/>
          <w:szCs w:val="24"/>
          <w:highlight w:val="none"/>
          <w:u w:val="single"/>
        </w:rPr>
        <w:t>珠海正方产业开发运营有限公司无人机飞控平台和业务后台开发（含硬件）</w:t>
      </w:r>
      <w:r>
        <w:rPr>
          <w:rFonts w:hint="eastAsia" w:ascii="宋体" w:hAnsi="宋体" w:eastAsia="宋体" w:cs="宋体"/>
          <w:sz w:val="24"/>
          <w:szCs w:val="24"/>
          <w:highlight w:val="none"/>
        </w:rPr>
        <w:t>供甲方使用的双方权利、义务，以及相关的法律事宜</w:t>
      </w:r>
      <w:r>
        <w:rPr>
          <w:rFonts w:hint="eastAsia" w:ascii="宋体" w:hAnsi="宋体" w:eastAsia="宋体" w:cs="宋体"/>
          <w:sz w:val="24"/>
          <w:szCs w:val="24"/>
          <w:highlight w:val="none"/>
          <w:lang w:eastAsia="zh-CN"/>
        </w:rPr>
        <w:t>，达成</w:t>
      </w:r>
      <w:r>
        <w:rPr>
          <w:rFonts w:hint="eastAsia" w:ascii="宋体" w:hAnsi="宋体" w:eastAsia="宋体" w:cs="宋体"/>
          <w:sz w:val="24"/>
          <w:szCs w:val="24"/>
          <w:highlight w:val="none"/>
        </w:rPr>
        <w:t>如下</w:t>
      </w:r>
      <w:r>
        <w:rPr>
          <w:rFonts w:hint="eastAsia" w:ascii="宋体" w:hAnsi="宋体" w:eastAsia="宋体" w:cs="宋体"/>
          <w:sz w:val="24"/>
          <w:szCs w:val="24"/>
          <w:highlight w:val="none"/>
          <w:lang w:eastAsia="zh-CN"/>
        </w:rPr>
        <w:t>协议：</w:t>
      </w:r>
      <w:r>
        <w:rPr>
          <w:rFonts w:hint="eastAsia" w:ascii="宋体" w:hAnsi="宋体" w:eastAsia="宋体" w:cs="宋体"/>
          <w:sz w:val="24"/>
          <w:szCs w:val="24"/>
          <w:highlight w:val="none"/>
        </w:rPr>
        <w:t xml:space="preserve"> </w:t>
      </w:r>
    </w:p>
    <w:p w14:paraId="6755A6C1">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jc w:val="left"/>
        <w:textAlignment w:val="auto"/>
        <w:outlineLvl w:val="1"/>
        <w:rPr>
          <w:rFonts w:hint="eastAsia" w:ascii="宋体" w:hAnsi="宋体" w:eastAsia="宋体" w:cs="宋体"/>
          <w:sz w:val="24"/>
          <w:szCs w:val="24"/>
          <w:highlight w:val="none"/>
        </w:rPr>
      </w:pPr>
      <w:r>
        <w:rPr>
          <w:rFonts w:hint="eastAsia" w:ascii="宋体" w:hAnsi="宋体" w:eastAsia="宋体" w:cs="宋体"/>
          <w:b/>
          <w:sz w:val="24"/>
          <w:szCs w:val="24"/>
          <w:highlight w:val="none"/>
        </w:rPr>
        <w:t>第一条 项目概况与工作范围</w:t>
      </w:r>
      <w:bookmarkEnd w:id="0"/>
    </w:p>
    <w:p w14:paraId="4382C704">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项目名称：</w:t>
      </w:r>
      <w:r>
        <w:rPr>
          <w:rFonts w:hint="eastAsia" w:ascii="宋体" w:hAnsi="宋体" w:eastAsia="宋体" w:cs="宋体"/>
          <w:sz w:val="24"/>
          <w:szCs w:val="24"/>
          <w:highlight w:val="none"/>
          <w:lang w:eastAsia="zh-CN"/>
        </w:rPr>
        <w:t>珠海正方产业开发运营有限公司无人机飞控平台和业务后台开发（含硬件）</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 项目建设地点：珠海市香洲区</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1.3 工作内容</w:t>
      </w:r>
      <w:r>
        <w:rPr>
          <w:rFonts w:hint="eastAsia" w:ascii="宋体" w:hAnsi="宋体" w:eastAsia="宋体" w:cs="宋体"/>
          <w:b w:val="0"/>
          <w:bCs w:val="0"/>
          <w:sz w:val="24"/>
          <w:szCs w:val="24"/>
          <w:highlight w:val="none"/>
        </w:rPr>
        <w:t>与范围：按照《珠海正方产业开发运营有限公司</w:t>
      </w:r>
      <w:r>
        <w:rPr>
          <w:rFonts w:hint="eastAsia" w:ascii="宋体" w:hAnsi="宋体" w:eastAsia="宋体" w:cs="宋体"/>
          <w:b w:val="0"/>
          <w:bCs w:val="0"/>
          <w:sz w:val="24"/>
          <w:szCs w:val="24"/>
          <w:highlight w:val="none"/>
          <w:lang w:eastAsia="zh-CN"/>
        </w:rPr>
        <w:t>珠海正方产业开发运营有限公司无人机飞控平台和业务后台开发（含硬件）</w:t>
      </w:r>
      <w:r>
        <w:rPr>
          <w:rFonts w:hint="eastAsia" w:ascii="宋体" w:hAnsi="宋体" w:eastAsia="宋体" w:cs="宋体"/>
          <w:b w:val="0"/>
          <w:bCs w:val="0"/>
          <w:sz w:val="24"/>
          <w:szCs w:val="24"/>
          <w:highlight w:val="none"/>
        </w:rPr>
        <w:t>技术任务书》完成全部工作，包含：无人机飞控平台与业务后台框架开发、软硬件适配集成、实景三维底座适配、火点</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人员</w:t>
      </w:r>
      <w:r>
        <w:rPr>
          <w:rFonts w:hint="eastAsia" w:ascii="宋体" w:hAnsi="宋体" w:eastAsia="宋体" w:cs="宋体"/>
          <w:b w:val="0"/>
          <w:bCs w:val="0"/>
          <w:sz w:val="24"/>
          <w:szCs w:val="24"/>
          <w:highlight w:val="none"/>
          <w:lang w:val="en-US" w:eastAsia="zh-CN"/>
        </w:rPr>
        <w:t>AI</w:t>
      </w:r>
      <w:r>
        <w:rPr>
          <w:rFonts w:hint="eastAsia" w:ascii="宋体" w:hAnsi="宋体" w:eastAsia="宋体" w:cs="宋体"/>
          <w:b w:val="0"/>
          <w:bCs w:val="0"/>
          <w:sz w:val="24"/>
          <w:szCs w:val="24"/>
          <w:highlight w:val="none"/>
        </w:rPr>
        <w:t>智能识别开发、无人机机载摄像头联动开发；全新无人机自动机库（不含无人机）供货、安装、调试部署；系统联调测试、上线部署、操作培训；</w:t>
      </w: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 xml:space="preserve"> 年标准化软硬件维保服务。</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1.4 甲方有权对承包内容、工程量、服务范围进行调整，乙方不得提出异议，不得以此向甲方提出索赔或费用补偿；仅按本合同约定调整合同价款，除此之外甲方不再支付任何补偿费用。</w:t>
      </w:r>
      <w:r>
        <w:rPr>
          <w:rFonts w:hint="eastAsia" w:ascii="宋体" w:hAnsi="宋体" w:eastAsia="宋体" w:cs="宋体"/>
          <w:b w:val="0"/>
          <w:bCs w:val="0"/>
          <w:sz w:val="24"/>
          <w:szCs w:val="24"/>
          <w:highlight w:val="none"/>
        </w:rPr>
        <w:br w:type="textWrapping"/>
      </w:r>
      <w:r>
        <w:rPr>
          <w:rFonts w:hint="eastAsia" w:ascii="宋体" w:hAnsi="宋体" w:eastAsia="宋体" w:cs="宋体"/>
          <w:sz w:val="24"/>
          <w:szCs w:val="24"/>
          <w:highlight w:val="none"/>
        </w:rPr>
        <w:t>1.5 乙方中标即视为完全接受招标文件、技术任务书全部条款要求。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1.6 本合同附件为本合同不可分割部分，与本合同正文具备同等法律效力。</w:t>
      </w:r>
    </w:p>
    <w:p w14:paraId="3CA510FD">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jc w:val="left"/>
        <w:textAlignment w:val="auto"/>
        <w:outlineLvl w:val="1"/>
        <w:rPr>
          <w:rFonts w:hint="eastAsia" w:ascii="宋体" w:hAnsi="宋体" w:eastAsia="宋体" w:cs="宋体"/>
          <w:sz w:val="24"/>
          <w:szCs w:val="24"/>
          <w:highlight w:val="none"/>
        </w:rPr>
      </w:pPr>
      <w:bookmarkStart w:id="1" w:name="heading_2"/>
      <w:r>
        <w:rPr>
          <w:rFonts w:hint="eastAsia" w:ascii="宋体" w:hAnsi="宋体" w:eastAsia="宋体" w:cs="宋体"/>
          <w:b/>
          <w:sz w:val="24"/>
          <w:szCs w:val="24"/>
          <w:highlight w:val="none"/>
        </w:rPr>
        <w:t>第二条 合同价款、税费及支付方式</w:t>
      </w:r>
      <w:bookmarkEnd w:id="1"/>
    </w:p>
    <w:p w14:paraId="62AE42E9">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 本项目各分项价款、税率约定如下（甲乙双方确认分项独立核算，乙方按不同税目分别开具增值税专用发票）：</w:t>
      </w:r>
    </w:p>
    <w:tbl>
      <w:tblPr>
        <w:tblStyle w:val="6"/>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 w:type="dxa"/>
          <w:bottom w:w="0" w:type="dxa"/>
          <w:right w:w="10" w:type="dxa"/>
        </w:tblCellMar>
      </w:tblPr>
      <w:tblGrid>
        <w:gridCol w:w="1035"/>
        <w:gridCol w:w="1663"/>
        <w:gridCol w:w="891"/>
        <w:gridCol w:w="1305"/>
        <w:gridCol w:w="1000"/>
        <w:gridCol w:w="2416"/>
      </w:tblGrid>
      <w:tr w14:paraId="604CD9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035" w:type="dxa"/>
            <w:tcBorders>
              <w:tl2br w:val="nil"/>
              <w:tr2bl w:val="nil"/>
            </w:tcBorders>
            <w:tcMar>
              <w:top w:w="60" w:type="dxa"/>
              <w:left w:w="120" w:type="dxa"/>
              <w:bottom w:w="30" w:type="dxa"/>
              <w:right w:w="120" w:type="dxa"/>
            </w:tcMar>
            <w:vAlign w:val="center"/>
          </w:tcPr>
          <w:p w14:paraId="24CAC463">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663" w:type="dxa"/>
            <w:tcBorders>
              <w:tl2br w:val="nil"/>
              <w:tr2bl w:val="nil"/>
            </w:tcBorders>
            <w:tcMar>
              <w:top w:w="60" w:type="dxa"/>
              <w:left w:w="120" w:type="dxa"/>
              <w:bottom w:w="30" w:type="dxa"/>
              <w:right w:w="120" w:type="dxa"/>
            </w:tcMar>
            <w:vAlign w:val="center"/>
          </w:tcPr>
          <w:p w14:paraId="2A5A1040">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项目内容</w:t>
            </w:r>
          </w:p>
        </w:tc>
        <w:tc>
          <w:tcPr>
            <w:tcW w:w="891" w:type="dxa"/>
            <w:tcBorders>
              <w:tl2br w:val="nil"/>
              <w:tr2bl w:val="nil"/>
            </w:tcBorders>
            <w:tcMar>
              <w:top w:w="60" w:type="dxa"/>
              <w:left w:w="120" w:type="dxa"/>
              <w:bottom w:w="30" w:type="dxa"/>
              <w:right w:w="120" w:type="dxa"/>
            </w:tcMar>
            <w:vAlign w:val="center"/>
          </w:tcPr>
          <w:p w14:paraId="45A6E1B3">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1305" w:type="dxa"/>
            <w:tcBorders>
              <w:tl2br w:val="nil"/>
              <w:tr2bl w:val="nil"/>
            </w:tcBorders>
            <w:tcMar>
              <w:top w:w="60" w:type="dxa"/>
              <w:left w:w="120" w:type="dxa"/>
              <w:bottom w:w="30" w:type="dxa"/>
              <w:right w:w="120" w:type="dxa"/>
            </w:tcMar>
            <w:vAlign w:val="center"/>
          </w:tcPr>
          <w:p w14:paraId="4B65D93D">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含税金额（元）</w:t>
            </w:r>
          </w:p>
        </w:tc>
        <w:tc>
          <w:tcPr>
            <w:tcW w:w="1000" w:type="dxa"/>
            <w:tcBorders>
              <w:tl2br w:val="nil"/>
              <w:tr2bl w:val="nil"/>
            </w:tcBorders>
            <w:tcMar>
              <w:top w:w="60" w:type="dxa"/>
              <w:left w:w="120" w:type="dxa"/>
              <w:bottom w:w="30" w:type="dxa"/>
              <w:right w:w="120" w:type="dxa"/>
            </w:tcMar>
            <w:vAlign w:val="center"/>
          </w:tcPr>
          <w:p w14:paraId="7AEB57AB">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增值税税率</w:t>
            </w:r>
          </w:p>
        </w:tc>
        <w:tc>
          <w:tcPr>
            <w:tcW w:w="2416" w:type="dxa"/>
            <w:tcBorders>
              <w:tl2br w:val="nil"/>
              <w:tr2bl w:val="nil"/>
            </w:tcBorders>
            <w:tcMar>
              <w:top w:w="60" w:type="dxa"/>
              <w:left w:w="120" w:type="dxa"/>
              <w:bottom w:w="30" w:type="dxa"/>
              <w:right w:w="120" w:type="dxa"/>
            </w:tcMar>
            <w:vAlign w:val="center"/>
          </w:tcPr>
          <w:p w14:paraId="63701670">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14:paraId="66CA81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035" w:type="dxa"/>
            <w:tcBorders>
              <w:tl2br w:val="nil"/>
              <w:tr2bl w:val="nil"/>
            </w:tcBorders>
            <w:tcMar>
              <w:top w:w="60" w:type="dxa"/>
              <w:left w:w="120" w:type="dxa"/>
              <w:bottom w:w="30" w:type="dxa"/>
              <w:right w:w="120" w:type="dxa"/>
            </w:tcMar>
            <w:vAlign w:val="center"/>
          </w:tcPr>
          <w:p w14:paraId="5FD28614">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663" w:type="dxa"/>
            <w:tcBorders>
              <w:tl2br w:val="nil"/>
              <w:tr2bl w:val="nil"/>
            </w:tcBorders>
            <w:tcMar>
              <w:top w:w="60" w:type="dxa"/>
              <w:left w:w="120" w:type="dxa"/>
              <w:bottom w:w="30" w:type="dxa"/>
              <w:right w:w="120" w:type="dxa"/>
            </w:tcMar>
            <w:vAlign w:val="center"/>
          </w:tcPr>
          <w:p w14:paraId="79B23799">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无人机飞控与业务框架开发</w:t>
            </w:r>
          </w:p>
        </w:tc>
        <w:tc>
          <w:tcPr>
            <w:tcW w:w="891" w:type="dxa"/>
            <w:tcBorders>
              <w:tl2br w:val="nil"/>
              <w:tr2bl w:val="nil"/>
            </w:tcBorders>
            <w:tcMar>
              <w:top w:w="60" w:type="dxa"/>
              <w:left w:w="120" w:type="dxa"/>
              <w:bottom w:w="30" w:type="dxa"/>
              <w:right w:w="120" w:type="dxa"/>
            </w:tcMar>
            <w:vAlign w:val="center"/>
          </w:tcPr>
          <w:p w14:paraId="06590F6E">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1305" w:type="dxa"/>
            <w:tcBorders>
              <w:tl2br w:val="nil"/>
              <w:tr2bl w:val="nil"/>
            </w:tcBorders>
            <w:tcMar>
              <w:top w:w="60" w:type="dxa"/>
              <w:left w:w="120" w:type="dxa"/>
              <w:bottom w:w="30" w:type="dxa"/>
              <w:right w:w="120" w:type="dxa"/>
            </w:tcMar>
            <w:vAlign w:val="center"/>
          </w:tcPr>
          <w:p w14:paraId="388246DF">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w:t>
            </w:r>
          </w:p>
        </w:tc>
        <w:tc>
          <w:tcPr>
            <w:tcW w:w="1000" w:type="dxa"/>
            <w:tcBorders>
              <w:tl2br w:val="nil"/>
              <w:tr2bl w:val="nil"/>
            </w:tcBorders>
            <w:tcMar>
              <w:top w:w="60" w:type="dxa"/>
              <w:left w:w="120" w:type="dxa"/>
              <w:bottom w:w="30" w:type="dxa"/>
              <w:right w:w="120" w:type="dxa"/>
            </w:tcMar>
            <w:vAlign w:val="center"/>
          </w:tcPr>
          <w:p w14:paraId="50118A0C">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2416" w:type="dxa"/>
            <w:tcBorders>
              <w:tl2br w:val="nil"/>
              <w:tr2bl w:val="nil"/>
            </w:tcBorders>
            <w:tcMar>
              <w:top w:w="60" w:type="dxa"/>
              <w:left w:w="120" w:type="dxa"/>
              <w:bottom w:w="30" w:type="dxa"/>
              <w:right w:w="120" w:type="dxa"/>
            </w:tcMar>
            <w:vAlign w:val="center"/>
          </w:tcPr>
          <w:p w14:paraId="684386F2">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含飞控平台、业务后台开发、设备接入调试、系统部署</w:t>
            </w:r>
          </w:p>
        </w:tc>
      </w:tr>
      <w:tr w14:paraId="139E80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243" w:hRule="atLeast"/>
          <w:jc w:val="center"/>
        </w:trPr>
        <w:tc>
          <w:tcPr>
            <w:tcW w:w="1035" w:type="dxa"/>
            <w:tcBorders>
              <w:tl2br w:val="nil"/>
              <w:tr2bl w:val="nil"/>
            </w:tcBorders>
            <w:tcMar>
              <w:top w:w="60" w:type="dxa"/>
              <w:left w:w="120" w:type="dxa"/>
              <w:bottom w:w="30" w:type="dxa"/>
              <w:right w:w="120" w:type="dxa"/>
            </w:tcMar>
            <w:vAlign w:val="center"/>
          </w:tcPr>
          <w:p w14:paraId="018DB751">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663" w:type="dxa"/>
            <w:tcBorders>
              <w:tl2br w:val="nil"/>
              <w:tr2bl w:val="nil"/>
            </w:tcBorders>
            <w:tcMar>
              <w:top w:w="60" w:type="dxa"/>
              <w:left w:w="120" w:type="dxa"/>
              <w:bottom w:w="30" w:type="dxa"/>
              <w:right w:w="120" w:type="dxa"/>
            </w:tcMar>
            <w:vAlign w:val="center"/>
          </w:tcPr>
          <w:p w14:paraId="56DEAB0F">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无人机自动机库</w:t>
            </w:r>
          </w:p>
        </w:tc>
        <w:tc>
          <w:tcPr>
            <w:tcW w:w="891" w:type="dxa"/>
            <w:tcBorders>
              <w:tl2br w:val="nil"/>
              <w:tr2bl w:val="nil"/>
            </w:tcBorders>
            <w:tcMar>
              <w:top w:w="60" w:type="dxa"/>
              <w:left w:w="120" w:type="dxa"/>
              <w:bottom w:w="30" w:type="dxa"/>
              <w:right w:w="120" w:type="dxa"/>
            </w:tcMar>
            <w:vAlign w:val="center"/>
          </w:tcPr>
          <w:p w14:paraId="0E64DEAC">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套</w:t>
            </w:r>
          </w:p>
        </w:tc>
        <w:tc>
          <w:tcPr>
            <w:tcW w:w="1305" w:type="dxa"/>
            <w:tcBorders>
              <w:tl2br w:val="nil"/>
              <w:tr2bl w:val="nil"/>
            </w:tcBorders>
            <w:tcMar>
              <w:top w:w="60" w:type="dxa"/>
              <w:left w:w="120" w:type="dxa"/>
              <w:bottom w:w="30" w:type="dxa"/>
              <w:right w:w="120" w:type="dxa"/>
            </w:tcMar>
            <w:vAlign w:val="center"/>
          </w:tcPr>
          <w:p w14:paraId="2A911168">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B</w:t>
            </w:r>
          </w:p>
        </w:tc>
        <w:tc>
          <w:tcPr>
            <w:tcW w:w="1000" w:type="dxa"/>
            <w:tcBorders>
              <w:tl2br w:val="nil"/>
              <w:tr2bl w:val="nil"/>
            </w:tcBorders>
            <w:tcMar>
              <w:top w:w="60" w:type="dxa"/>
              <w:left w:w="120" w:type="dxa"/>
              <w:bottom w:w="30" w:type="dxa"/>
              <w:right w:w="120" w:type="dxa"/>
            </w:tcMar>
            <w:vAlign w:val="center"/>
          </w:tcPr>
          <w:p w14:paraId="75FBE920">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2416" w:type="dxa"/>
            <w:tcBorders>
              <w:tl2br w:val="nil"/>
              <w:tr2bl w:val="nil"/>
            </w:tcBorders>
            <w:tcMar>
              <w:top w:w="60" w:type="dxa"/>
              <w:left w:w="120" w:type="dxa"/>
              <w:bottom w:w="30" w:type="dxa"/>
              <w:right w:w="120" w:type="dxa"/>
            </w:tcMar>
            <w:vAlign w:val="center"/>
          </w:tcPr>
          <w:p w14:paraId="08CC8C83">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全新机库（不含无人机），含安装、调试全部费用</w:t>
            </w:r>
          </w:p>
        </w:tc>
      </w:tr>
      <w:tr w14:paraId="4648AF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534" w:hRule="atLeast"/>
          <w:jc w:val="center"/>
        </w:trPr>
        <w:tc>
          <w:tcPr>
            <w:tcW w:w="1035" w:type="dxa"/>
            <w:tcBorders>
              <w:tl2br w:val="nil"/>
              <w:tr2bl w:val="nil"/>
            </w:tcBorders>
            <w:tcMar>
              <w:top w:w="60" w:type="dxa"/>
              <w:left w:w="120" w:type="dxa"/>
              <w:bottom w:w="30" w:type="dxa"/>
              <w:right w:w="120" w:type="dxa"/>
            </w:tcMar>
            <w:vAlign w:val="center"/>
          </w:tcPr>
          <w:p w14:paraId="6B213DF5">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663" w:type="dxa"/>
            <w:tcBorders>
              <w:tl2br w:val="nil"/>
              <w:tr2bl w:val="nil"/>
            </w:tcBorders>
            <w:tcMar>
              <w:top w:w="60" w:type="dxa"/>
              <w:left w:w="120" w:type="dxa"/>
              <w:bottom w:w="30" w:type="dxa"/>
              <w:right w:w="120" w:type="dxa"/>
            </w:tcMar>
            <w:vAlign w:val="center"/>
          </w:tcPr>
          <w:p w14:paraId="5B391A8A">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年标准化维保服务（含软硬件）</w:t>
            </w:r>
          </w:p>
        </w:tc>
        <w:tc>
          <w:tcPr>
            <w:tcW w:w="891" w:type="dxa"/>
            <w:tcBorders>
              <w:tl2br w:val="nil"/>
              <w:tr2bl w:val="nil"/>
            </w:tcBorders>
            <w:tcMar>
              <w:top w:w="60" w:type="dxa"/>
              <w:left w:w="120" w:type="dxa"/>
              <w:bottom w:w="30" w:type="dxa"/>
              <w:right w:w="120" w:type="dxa"/>
            </w:tcMar>
            <w:vAlign w:val="center"/>
          </w:tcPr>
          <w:p w14:paraId="7297DAD8">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c>
          <w:tcPr>
            <w:tcW w:w="1305" w:type="dxa"/>
            <w:tcBorders>
              <w:tl2br w:val="nil"/>
              <w:tr2bl w:val="nil"/>
            </w:tcBorders>
            <w:tcMar>
              <w:top w:w="60" w:type="dxa"/>
              <w:left w:w="120" w:type="dxa"/>
              <w:bottom w:w="30" w:type="dxa"/>
              <w:right w:w="120" w:type="dxa"/>
            </w:tcMar>
            <w:vAlign w:val="center"/>
          </w:tcPr>
          <w:p w14:paraId="0A7E9725">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C</w:t>
            </w:r>
          </w:p>
        </w:tc>
        <w:tc>
          <w:tcPr>
            <w:tcW w:w="1000" w:type="dxa"/>
            <w:tcBorders>
              <w:tl2br w:val="nil"/>
              <w:tr2bl w:val="nil"/>
            </w:tcBorders>
            <w:tcMar>
              <w:top w:w="60" w:type="dxa"/>
              <w:left w:w="120" w:type="dxa"/>
              <w:bottom w:w="30" w:type="dxa"/>
              <w:right w:w="120" w:type="dxa"/>
            </w:tcMar>
            <w:vAlign w:val="center"/>
          </w:tcPr>
          <w:p w14:paraId="5A36D50A">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2416" w:type="dxa"/>
            <w:tcBorders>
              <w:tl2br w:val="nil"/>
              <w:tr2bl w:val="nil"/>
            </w:tcBorders>
            <w:tcMar>
              <w:top w:w="60" w:type="dxa"/>
              <w:left w:w="120" w:type="dxa"/>
              <w:bottom w:w="30" w:type="dxa"/>
              <w:right w:w="120" w:type="dxa"/>
            </w:tcMar>
            <w:vAlign w:val="center"/>
          </w:tcPr>
          <w:p w14:paraId="5C3FC0B0">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含系统功能更新、Bug 修复、安全补丁、软硬件维护、技术支持</w:t>
            </w:r>
          </w:p>
        </w:tc>
      </w:tr>
      <w:tr w14:paraId="439CFB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805" w:hRule="atLeast"/>
          <w:jc w:val="center"/>
        </w:trPr>
        <w:tc>
          <w:tcPr>
            <w:tcW w:w="1035" w:type="dxa"/>
            <w:tcBorders>
              <w:tl2br w:val="nil"/>
              <w:tr2bl w:val="nil"/>
            </w:tcBorders>
            <w:tcMar>
              <w:top w:w="60" w:type="dxa"/>
              <w:left w:w="120" w:type="dxa"/>
              <w:bottom w:w="30" w:type="dxa"/>
              <w:right w:w="120" w:type="dxa"/>
            </w:tcMar>
            <w:vAlign w:val="center"/>
          </w:tcPr>
          <w:p w14:paraId="0B80401A">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合计含税总价</w:t>
            </w:r>
          </w:p>
        </w:tc>
        <w:tc>
          <w:tcPr>
            <w:tcW w:w="1663" w:type="dxa"/>
            <w:tcBorders>
              <w:tl2br w:val="nil"/>
              <w:tr2bl w:val="nil"/>
            </w:tcBorders>
            <w:tcMar>
              <w:top w:w="60" w:type="dxa"/>
              <w:left w:w="120" w:type="dxa"/>
              <w:bottom w:w="30" w:type="dxa"/>
              <w:right w:w="120" w:type="dxa"/>
            </w:tcMar>
            <w:vAlign w:val="center"/>
          </w:tcPr>
          <w:p w14:paraId="55BFD1A8">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ind w:left="0" w:firstLine="480" w:firstLineChars="20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891" w:type="dxa"/>
            <w:tcBorders>
              <w:tl2br w:val="nil"/>
              <w:tr2bl w:val="nil"/>
            </w:tcBorders>
            <w:tcMar>
              <w:top w:w="60" w:type="dxa"/>
              <w:left w:w="120" w:type="dxa"/>
              <w:bottom w:w="30" w:type="dxa"/>
              <w:right w:w="120" w:type="dxa"/>
            </w:tcMar>
            <w:vAlign w:val="center"/>
          </w:tcPr>
          <w:p w14:paraId="291E8D28">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ind w:left="0" w:firstLine="480" w:firstLineChars="200"/>
              <w:jc w:val="center"/>
              <w:textAlignment w:val="auto"/>
              <w:rPr>
                <w:rFonts w:hint="eastAsia" w:ascii="宋体" w:hAnsi="宋体" w:eastAsia="宋体" w:cs="宋体"/>
                <w:sz w:val="24"/>
                <w:szCs w:val="24"/>
                <w:highlight w:val="none"/>
              </w:rPr>
            </w:pPr>
          </w:p>
        </w:tc>
        <w:tc>
          <w:tcPr>
            <w:tcW w:w="1305" w:type="dxa"/>
            <w:tcBorders>
              <w:tl2br w:val="nil"/>
              <w:tr2bl w:val="nil"/>
            </w:tcBorders>
            <w:tcMar>
              <w:top w:w="60" w:type="dxa"/>
              <w:left w:w="120" w:type="dxa"/>
              <w:bottom w:w="30" w:type="dxa"/>
              <w:right w:w="120" w:type="dxa"/>
            </w:tcMar>
            <w:vAlign w:val="center"/>
          </w:tcPr>
          <w:p w14:paraId="504AA868">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ind w:left="0" w:firstLine="480" w:firstLineChars="200"/>
              <w:jc w:val="center"/>
              <w:textAlignment w:val="auto"/>
              <w:rPr>
                <w:rFonts w:hint="eastAsia" w:ascii="宋体" w:hAnsi="宋体" w:eastAsia="宋体" w:cs="宋体"/>
                <w:sz w:val="24"/>
                <w:szCs w:val="24"/>
                <w:highlight w:val="none"/>
              </w:rPr>
            </w:pPr>
          </w:p>
        </w:tc>
        <w:tc>
          <w:tcPr>
            <w:tcW w:w="1000" w:type="dxa"/>
            <w:tcBorders>
              <w:tl2br w:val="nil"/>
              <w:tr2bl w:val="nil"/>
            </w:tcBorders>
            <w:tcMar>
              <w:top w:w="60" w:type="dxa"/>
              <w:left w:w="120" w:type="dxa"/>
              <w:bottom w:w="30" w:type="dxa"/>
              <w:right w:w="120" w:type="dxa"/>
            </w:tcMar>
            <w:vAlign w:val="center"/>
          </w:tcPr>
          <w:p w14:paraId="3A2A9A83">
            <w:pPr>
              <w:keepNext w:val="0"/>
              <w:keepLines w:val="0"/>
              <w:pageBreakBefore w:val="0"/>
              <w:widowControl w:val="0"/>
              <w:shd w:val="clear"/>
              <w:kinsoku/>
              <w:wordWrap/>
              <w:overflowPunct/>
              <w:topLinePunct w:val="0"/>
              <w:autoSpaceDE w:val="0"/>
              <w:autoSpaceDN w:val="0"/>
              <w:bidi w:val="0"/>
              <w:adjustRightInd/>
              <w:snapToGrid/>
              <w:spacing w:before="120" w:after="120" w:line="240" w:lineRule="auto"/>
              <w:ind w:left="0" w:firstLine="480" w:firstLineChars="200"/>
              <w:jc w:val="center"/>
              <w:textAlignment w:val="auto"/>
              <w:rPr>
                <w:rFonts w:hint="eastAsia" w:ascii="宋体" w:hAnsi="宋体" w:eastAsia="宋体" w:cs="宋体"/>
                <w:sz w:val="24"/>
                <w:szCs w:val="24"/>
                <w:highlight w:val="none"/>
              </w:rPr>
            </w:pPr>
          </w:p>
        </w:tc>
        <w:tc>
          <w:tcPr>
            <w:tcW w:w="2416" w:type="dxa"/>
            <w:tcBorders>
              <w:tl2br w:val="nil"/>
              <w:tr2bl w:val="nil"/>
            </w:tcBorders>
            <w:tcMar>
              <w:top w:w="60" w:type="dxa"/>
              <w:left w:w="120" w:type="dxa"/>
              <w:bottom w:w="30" w:type="dxa"/>
              <w:right w:w="120" w:type="dxa"/>
            </w:tcMar>
            <w:vAlign w:val="center"/>
          </w:tcPr>
          <w:p w14:paraId="3B5D3E5F">
            <w:pPr>
              <w:keepNext w:val="0"/>
              <w:keepLines w:val="0"/>
              <w:pageBreakBefore w:val="0"/>
              <w:widowControl w:val="0"/>
              <w:shd w:val="clear"/>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不高于 </w:t>
            </w:r>
            <w:r>
              <w:rPr>
                <w:rFonts w:hint="eastAsia" w:ascii="宋体" w:hAnsi="宋体" w:eastAsia="宋体" w:cs="宋体"/>
                <w:sz w:val="24"/>
                <w:szCs w:val="24"/>
                <w:highlight w:val="none"/>
                <w:lang w:eastAsia="zh-CN"/>
              </w:rPr>
              <w:t>324000</w:t>
            </w:r>
            <w:r>
              <w:rPr>
                <w:rFonts w:hint="eastAsia" w:ascii="宋体" w:hAnsi="宋体" w:eastAsia="宋体" w:cs="宋体"/>
                <w:sz w:val="24"/>
                <w:szCs w:val="24"/>
                <w:highlight w:val="none"/>
              </w:rPr>
              <w:t xml:space="preserve"> 元</w:t>
            </w:r>
          </w:p>
        </w:tc>
      </w:tr>
    </w:tbl>
    <w:p w14:paraId="681B2F8C">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highlight w:val="none"/>
        </w:rPr>
      </w:pPr>
    </w:p>
    <w:p w14:paraId="0B270B64">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备注：A = 无人机飞控与业务框架开发含税价款；B = 无人机自动机库含税价款；C=</w:t>
      </w:r>
      <w:r>
        <w:rPr>
          <w:rFonts w:hint="eastAsia" w:ascii="宋体" w:hAnsi="宋体" w:eastAsia="宋体" w:cs="宋体"/>
          <w:sz w:val="24"/>
          <w:szCs w:val="24"/>
          <w:highlight w:val="none"/>
          <w:lang w:eastAsia="zh-CN"/>
        </w:rPr>
        <w:t>4 年</w:t>
      </w:r>
      <w:r>
        <w:rPr>
          <w:rFonts w:hint="eastAsia" w:ascii="宋体" w:hAnsi="宋体" w:eastAsia="宋体" w:cs="宋体"/>
          <w:sz w:val="24"/>
          <w:szCs w:val="24"/>
          <w:highlight w:val="none"/>
        </w:rPr>
        <w:t>标准化维保服务含税价款。</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合同总价款包含软件开发设计、源代码、硬件设备采购、运输、安装调试、系统部署、测试、培训、</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年维保、人工、差旅、税费、辅料等完成本项目全部工作的全部费用，除合同约定价款调整情形外，甲方无需另行支付其他任何费用。</w:t>
      </w:r>
      <w:r>
        <w:rPr>
          <w:rFonts w:hint="eastAsia" w:ascii="宋体" w:hAnsi="宋体" w:eastAsia="宋体" w:cs="宋体"/>
          <w:color w:val="646A73"/>
          <w:sz w:val="24"/>
          <w:szCs w:val="24"/>
          <w:highlight w:val="none"/>
        </w:rPr>
        <w:br w:type="textWrapping"/>
      </w:r>
      <w:r>
        <w:rPr>
          <w:rFonts w:hint="eastAsia" w:ascii="宋体" w:hAnsi="宋体" w:eastAsia="宋体" w:cs="宋体"/>
          <w:color w:val="646A73"/>
          <w:sz w:val="24"/>
          <w:szCs w:val="24"/>
          <w:highlight w:val="none"/>
          <w:lang w:val="en-US" w:eastAsia="zh-CN"/>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若国家税收政策发生调整，对应项目税率按国家政策执行，不含税价款保持不变，增值税税额相应调整。</w:t>
      </w:r>
    </w:p>
    <w:p w14:paraId="0A6BD7CA">
      <w:pPr>
        <w:keepNext w:val="0"/>
        <w:keepLines w:val="0"/>
        <w:pageBreakBefore w:val="0"/>
        <w:widowControl w:val="0"/>
        <w:shd w:val="clear"/>
        <w:kinsoku/>
        <w:wordWrap/>
        <w:overflowPunct/>
        <w:topLinePunct w:val="0"/>
        <w:autoSpaceDE w:val="0"/>
        <w:autoSpaceDN w:val="0"/>
        <w:bidi w:val="0"/>
        <w:adjustRightInd/>
        <w:snapToGrid/>
        <w:spacing w:before="300" w:after="120" w:line="360" w:lineRule="auto"/>
        <w:jc w:val="left"/>
        <w:textAlignment w:val="auto"/>
        <w:outlineLvl w:val="2"/>
        <w:rPr>
          <w:rFonts w:hint="eastAsia" w:ascii="宋体" w:hAnsi="宋体" w:eastAsia="宋体" w:cs="宋体"/>
          <w:sz w:val="24"/>
          <w:szCs w:val="24"/>
          <w:highlight w:val="none"/>
        </w:rPr>
      </w:pPr>
      <w:bookmarkStart w:id="2" w:name="heading_3"/>
      <w:r>
        <w:rPr>
          <w:rFonts w:hint="eastAsia" w:ascii="宋体" w:hAnsi="宋体" w:eastAsia="宋体" w:cs="宋体"/>
          <w:b/>
          <w:sz w:val="24"/>
          <w:szCs w:val="24"/>
          <w:highlight w:val="none"/>
          <w:lang w:eastAsia="zh-CN"/>
        </w:rPr>
        <w:t>2.2</w:t>
      </w:r>
      <w:r>
        <w:rPr>
          <w:rFonts w:hint="eastAsia" w:ascii="宋体" w:hAnsi="宋体" w:eastAsia="宋体" w:cs="宋体"/>
          <w:b/>
          <w:sz w:val="24"/>
          <w:szCs w:val="24"/>
          <w:highlight w:val="none"/>
        </w:rPr>
        <w:t xml:space="preserve"> 付款方式</w:t>
      </w:r>
      <w:bookmarkEnd w:id="2"/>
    </w:p>
    <w:p w14:paraId="456DDA9F">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 xml:space="preserve">.1 第一期款项：合同签订生效后 </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 xml:space="preserve">5 个工作日内，乙方开具【无人机飞控与业务框架开发】、【无人机自动机库】对应 13% 税率的合法有效增值税专用发票，甲方向乙方支付【无人机飞控与业务框架开发】+【无人机自动机库】两项合计金额的 </w:t>
      </w:r>
      <w:r>
        <w:rPr>
          <w:rFonts w:hint="eastAsia" w:ascii="宋体" w:hAnsi="宋体" w:eastAsia="宋体" w:cs="宋体"/>
          <w:b w:val="0"/>
          <w:bCs w:val="0"/>
          <w:sz w:val="24"/>
          <w:szCs w:val="24"/>
          <w:highlight w:val="none"/>
          <w:lang w:val="en-US" w:eastAsia="zh-CN"/>
        </w:rPr>
        <w:t>6</w:t>
      </w:r>
      <w:r>
        <w:rPr>
          <w:rFonts w:hint="eastAsia" w:ascii="宋体" w:hAnsi="宋体" w:eastAsia="宋体" w:cs="宋体"/>
          <w:b w:val="0"/>
          <w:bCs w:val="0"/>
          <w:sz w:val="24"/>
          <w:szCs w:val="24"/>
          <w:highlight w:val="none"/>
        </w:rPr>
        <w:t>0%，即人民币：</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A+B</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6</w:t>
      </w:r>
      <w:r>
        <w:rPr>
          <w:rFonts w:hint="eastAsia" w:ascii="宋体" w:hAnsi="宋体" w:eastAsia="宋体" w:cs="宋体"/>
          <w:b w:val="0"/>
          <w:bCs w:val="0"/>
          <w:sz w:val="24"/>
          <w:szCs w:val="24"/>
          <w:highlight w:val="none"/>
        </w:rPr>
        <w:t>0% 元。</w:t>
      </w:r>
    </w:p>
    <w:p w14:paraId="42B128DD">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 xml:space="preserve">.2 第二期款项：项目全部工作完成并经甲方验收合格后 </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5 个工作日</w:t>
      </w:r>
      <w:r>
        <w:rPr>
          <w:rFonts w:hint="eastAsia" w:ascii="宋体" w:hAnsi="宋体" w:eastAsia="宋体" w:cs="宋体"/>
          <w:b w:val="0"/>
          <w:bCs w:val="0"/>
          <w:sz w:val="24"/>
          <w:szCs w:val="24"/>
          <w:highlight w:val="none"/>
          <w:lang w:val="en-US" w:eastAsia="zh-CN"/>
        </w:rPr>
        <w:t>内</w:t>
      </w:r>
      <w:r>
        <w:rPr>
          <w:rFonts w:hint="eastAsia" w:ascii="宋体" w:hAnsi="宋体" w:eastAsia="宋体" w:cs="宋体"/>
          <w:b w:val="0"/>
          <w:bCs w:val="0"/>
          <w:sz w:val="24"/>
          <w:szCs w:val="24"/>
          <w:highlight w:val="none"/>
        </w:rPr>
        <w:t>，乙方提交全部交付归档资料，分别开具对应税率合规增值税专用发票：①无人机飞控与业务框架开发、无人机自动机库剩余款项开具 13% 税率增值税专用发票；②</w:t>
      </w:r>
      <w:r>
        <w:rPr>
          <w:rFonts w:hint="eastAsia" w:ascii="宋体" w:hAnsi="宋体" w:eastAsia="宋体" w:cs="宋体"/>
          <w:b w:val="0"/>
          <w:bCs w:val="0"/>
          <w:sz w:val="24"/>
          <w:szCs w:val="24"/>
          <w:highlight w:val="none"/>
          <w:lang w:eastAsia="zh-CN"/>
        </w:rPr>
        <w:t>4 年</w:t>
      </w:r>
      <w:r>
        <w:rPr>
          <w:rFonts w:hint="eastAsia" w:ascii="宋体" w:hAnsi="宋体" w:eastAsia="宋体" w:cs="宋体"/>
          <w:b w:val="0"/>
          <w:bCs w:val="0"/>
          <w:sz w:val="24"/>
          <w:szCs w:val="24"/>
          <w:highlight w:val="none"/>
        </w:rPr>
        <w:t>标准化维保服务 20% 部分开具 6% 税率增值税专用发票。甲方收到完整资料及发票后支付：</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① 无人机飞控与业务框架开发、无人机自动机库两项</w:t>
      </w:r>
      <w:r>
        <w:rPr>
          <w:rFonts w:hint="eastAsia" w:ascii="宋体" w:hAnsi="宋体" w:eastAsia="宋体" w:cs="宋体"/>
          <w:sz w:val="24"/>
          <w:szCs w:val="24"/>
          <w:highlight w:val="none"/>
        </w:rPr>
        <w:t xml:space="preserve">合计剩余 </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0% 款项：人民币 (A+B)×</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0% 元；</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 xml:space="preserve">② </w:t>
      </w:r>
      <w:r>
        <w:rPr>
          <w:rFonts w:hint="eastAsia" w:ascii="宋体" w:hAnsi="宋体" w:eastAsia="宋体" w:cs="宋体"/>
          <w:sz w:val="24"/>
          <w:szCs w:val="24"/>
          <w:highlight w:val="none"/>
          <w:lang w:eastAsia="zh-CN"/>
        </w:rPr>
        <w:t>4 年</w:t>
      </w:r>
      <w:r>
        <w:rPr>
          <w:rFonts w:hint="eastAsia" w:ascii="宋体" w:hAnsi="宋体" w:eastAsia="宋体" w:cs="宋体"/>
          <w:sz w:val="24"/>
          <w:szCs w:val="24"/>
          <w:highlight w:val="none"/>
        </w:rPr>
        <w:t>标准化维保服务（含软硬件）项金额的 20%：人民币 C×20% 元。</w:t>
      </w:r>
    </w:p>
    <w:p w14:paraId="73C2C339">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 xml:space="preserve">.3 维保分期款项：以项目验收合格日期作为起算基准，每满 12 个自然月后的 </w:t>
      </w:r>
      <w:r>
        <w:rPr>
          <w:rFonts w:hint="eastAsia" w:ascii="宋体" w:hAnsi="宋体" w:eastAsia="宋体" w:cs="宋体"/>
          <w:b w:val="0"/>
          <w:bCs w:val="0"/>
          <w:sz w:val="24"/>
          <w:szCs w:val="24"/>
          <w:highlight w:val="none"/>
          <w:lang w:val="en-US" w:eastAsia="zh-CN"/>
        </w:rPr>
        <w:t>15</w:t>
      </w:r>
      <w:r>
        <w:rPr>
          <w:rFonts w:hint="eastAsia" w:ascii="宋体" w:hAnsi="宋体" w:eastAsia="宋体" w:cs="宋体"/>
          <w:b w:val="0"/>
          <w:bCs w:val="0"/>
          <w:sz w:val="24"/>
          <w:szCs w:val="24"/>
          <w:highlight w:val="none"/>
        </w:rPr>
        <w:t xml:space="preserve"> 个工作日内，且乙方完成对应周期全部维保义务，经甲方考核确认无误，乙方开具当期维保款项 6% 税率增值税专用发票后，甲方支付当期维保款项，每期支付维保项金额的 20% 即人民币 C×20% 元，共计分 4 期支付完毕剩余维保费用。</w:t>
      </w:r>
    </w:p>
    <w:p w14:paraId="24C0F3CA">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firstLine="480" w:firstLineChars="200"/>
        <w:jc w:val="left"/>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val="0"/>
          <w:sz w:val="24"/>
          <w:szCs w:val="24"/>
          <w:highlight w:val="none"/>
          <w:lang w:val="en-US" w:eastAsia="zh-CN"/>
        </w:rPr>
        <w:t>2.2.4 结算机制：</w:t>
      </w:r>
      <w:r>
        <w:rPr>
          <w:rFonts w:hint="eastAsia" w:ascii="宋体" w:hAnsi="宋体" w:eastAsia="宋体" w:cs="宋体"/>
          <w:b w:val="0"/>
          <w:bCs w:val="0"/>
          <w:sz w:val="24"/>
          <w:szCs w:val="24"/>
          <w:highlight w:val="none"/>
        </w:rPr>
        <w:t>①</w:t>
      </w:r>
      <w:r>
        <w:rPr>
          <w:rFonts w:hint="eastAsia" w:ascii="宋体" w:hAnsi="宋体" w:eastAsia="宋体" w:cs="宋体"/>
          <w:b w:val="0"/>
          <w:bCs w:val="0"/>
          <w:sz w:val="24"/>
          <w:szCs w:val="24"/>
          <w:highlight w:val="none"/>
          <w:lang w:val="en-US" w:eastAsia="zh-CN"/>
        </w:rPr>
        <w:t>若无人机机库不</w:t>
      </w:r>
      <w:r>
        <w:rPr>
          <w:rFonts w:hint="eastAsia" w:ascii="宋体" w:hAnsi="宋体" w:eastAsia="宋体" w:cs="宋体"/>
          <w:b w:val="0"/>
          <w:bCs/>
          <w:sz w:val="24"/>
          <w:szCs w:val="24"/>
          <w:highlight w:val="none"/>
          <w:lang w:val="en-US" w:eastAsia="zh-CN"/>
        </w:rPr>
        <w:t>符合任务要求中的验收标准8.1.1中的任意一项或两项，则不予验收。乙方可在10个工作日内重新提供一次无人机机库交付验收，否则，不予支付尾款。</w:t>
      </w:r>
      <w:r>
        <w:rPr>
          <w:rFonts w:hint="eastAsia" w:ascii="宋体" w:hAnsi="宋体" w:eastAsia="宋体" w:cs="宋体"/>
          <w:sz w:val="24"/>
          <w:szCs w:val="24"/>
          <w:highlight w:val="none"/>
        </w:rPr>
        <w:t>②</w:t>
      </w:r>
      <w:r>
        <w:rPr>
          <w:rFonts w:hint="eastAsia" w:ascii="宋体" w:hAnsi="宋体" w:eastAsia="宋体" w:cs="宋体"/>
          <w:b w:val="0"/>
          <w:bCs/>
          <w:sz w:val="24"/>
          <w:szCs w:val="24"/>
          <w:highlight w:val="none"/>
          <w:lang w:val="en-US" w:eastAsia="zh-CN"/>
        </w:rPr>
        <w:t>若乙方交付验收的飞控平台和业务后台系统，对照在投标阶段提交的技术方案书，存在与技术任务书对功能预期描述不符合的功能项，则每个大功能模块的每一小功能项扣减5%尾款，最多10项，扣减50%，超过10项不予验收。乙方可在15个工作日内对交付标的系统进行补充开发，否则，不予支付尾款。（如：假设中标方在投标阶段提交的关于飞控平台和业务后台技术方案书中对于“2.6无人机与地面固定摄像头联动开发功能需求”，提供了成熟的开发方案，包括支持地面摄像头接入、地面预警联动无人机、机载相机与飞行任务联动、多模块融合联动等功能，若在交付验收阶段发现未能实现“地面摄像头接入”和“机载相机与飞行任务联动”两项小功能项，则扣减10%的尾款。）</w:t>
      </w:r>
    </w:p>
    <w:p w14:paraId="39A1F5BB">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 xml:space="preserve"> 乙方收款对公账户信息</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户 名：</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开户行：</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账 号：</w:t>
      </w:r>
    </w:p>
    <w:p w14:paraId="5397F358">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甲方按内部审批流程办理付款。因乙方交付成果不达标、资料不全、发票开具税率、品类不合规、维保工作未达标导致付款延后，甲方不承担逾期付款违约责任。</w:t>
      </w:r>
    </w:p>
    <w:p w14:paraId="2E788DA3">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3" w:name="heading_4"/>
      <w:r>
        <w:rPr>
          <w:rFonts w:hint="eastAsia" w:ascii="宋体" w:hAnsi="宋体" w:eastAsia="宋体" w:cs="宋体"/>
          <w:b/>
          <w:sz w:val="24"/>
          <w:szCs w:val="24"/>
          <w:highlight w:val="none"/>
        </w:rPr>
        <w:t>第三条 工期、交付物、现场踏勘</w:t>
      </w:r>
      <w:bookmarkEnd w:id="3"/>
    </w:p>
    <w:p w14:paraId="0D194887">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 项目总工期：严格执行附件《技术任务书》约定工期。</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3.2 现场踏勘：招标人不组织集中踏勘，乙方自行负责现场踏勘，踏勘产生的交通食宿、人身财产风险全部由乙方自行承担。</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3.3 乙方完整交付成果清单：</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1）软件类：飞控平台、业务后台完整部署包、全套源代码、数据库脚本；系统架构图、业务流程图、接口文档；管理员运维手册；测试报告；盖章纸质文档扫描件、可编辑电子版本；</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2）硬件类：全新无人机自动机库一套（不含无人机），产品合格证、原厂说明书、硬件配套资料；完成现场安装调试；</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3）其他：培训记录、项目过程文档，技术任务书、投标文件约定的其他交付物。</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3.4 交付地点：珠海市香洲区甲方指定现场。</w:t>
      </w:r>
    </w:p>
    <w:p w14:paraId="3924791D">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4" w:name="heading_5"/>
      <w:r>
        <w:rPr>
          <w:rFonts w:hint="eastAsia" w:ascii="宋体" w:hAnsi="宋体" w:eastAsia="宋体" w:cs="宋体"/>
          <w:b/>
          <w:sz w:val="24"/>
          <w:szCs w:val="24"/>
          <w:highlight w:val="none"/>
        </w:rPr>
        <w:t>第四条 需求变更管理</w:t>
      </w:r>
      <w:bookmarkEnd w:id="4"/>
    </w:p>
    <w:p w14:paraId="5DEAD312">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 本项目范围内，甲方依据招标文件有权调整工程量、服务内容。如属于新增需求、重大功能变更，甲方出具书面《需求变更确认单》，乙方评估工作量、费用、工期、适用税率，双方签字盖章确认后实施变更。无书面确认单，乙方有权拒绝口头变更。</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4.2 因甲方需求变更导致工期调整，工期按变更单顺延。</w:t>
      </w:r>
    </w:p>
    <w:p w14:paraId="263B2EF5">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5" w:name="heading_6"/>
      <w:r>
        <w:rPr>
          <w:rFonts w:hint="eastAsia" w:ascii="宋体" w:hAnsi="宋体" w:eastAsia="宋体" w:cs="宋体"/>
          <w:b/>
          <w:sz w:val="24"/>
          <w:szCs w:val="24"/>
          <w:highlight w:val="none"/>
        </w:rPr>
        <w:t>第五条 测试与项目验收</w:t>
      </w:r>
      <w:bookmarkEnd w:id="5"/>
    </w:p>
    <w:p w14:paraId="71837464">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 乙方完成内部全量测试后，向甲方提交书面验收申请及全套交付资料。</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5.2 甲方收到验收申请后，依据招标文件、技术任务书、国家及行业现行标准组织开展项目验收。各阶段成果需要通过甲方审核，必要时配合专家评审、政府相关部门审批，乙方负责根据审查意见免费完成修改、补充。</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5.3 验收不合格的，甲方出具书面整改意见，乙方须在甲方指定时限内免费完成整改，重新提请验收，由此产生的全部费用、工期延误责任由乙方承担。</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5.4 未经甲方书面确认，乙方不得擅自将项目投入正式运行。</w:t>
      </w:r>
    </w:p>
    <w:p w14:paraId="5388BB62">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6" w:name="heading_7"/>
      <w:r>
        <w:rPr>
          <w:rFonts w:hint="eastAsia" w:ascii="宋体" w:hAnsi="宋体" w:eastAsia="宋体" w:cs="宋体"/>
          <w:b/>
          <w:sz w:val="24"/>
          <w:szCs w:val="24"/>
          <w:highlight w:val="none"/>
        </w:rPr>
        <w:t>第六条 质量标准</w:t>
      </w:r>
      <w:bookmarkEnd w:id="6"/>
    </w:p>
    <w:p w14:paraId="5E17B646">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 乙方交付成果必须符合国家法律法规、现行国家、行业、珠海市地方标准规范，同时满足招标文件、技术任务书及乙方投标技术方案全部要求。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6.2 软件平台需完整实现飞控算法、姿态稳定控制、自主避障、智能航线规划、多源飞行数据采集传输；低空业务全生命周期流程管控；跨系统集成对接；GIS 实景三维模型底座适配；AI 火点识别、人员识别预警；无人机与摄像头云台联动等全部功能。</w:t>
      </w:r>
    </w:p>
    <w:p w14:paraId="3467A4E1">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6.3 乙方交付完整、可编译、可正常部署的全套源代码（包括无人机飞控平台全部软件源代码、程序算法、技术架构）和配套工程文档。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无人机自动机库设备为全新原厂产品，无翻新、改装，满足项目现场作业环境。</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 xml:space="preserve"> 乙方应配合甲方及项目其他合作单位协同工作，服从甲方统一协调安排。</w:t>
      </w:r>
    </w:p>
    <w:p w14:paraId="3D596CAF">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6.6 乙方须配合甲方在 60 日内完成飞控平台系统的知识产权申报工作，并最终取得权利人为甲方的软件著作权证书。甲方拥有源代码所有权 + 著作权，后续可以自主迭代、委托任何第三方维护开发。</w:t>
      </w:r>
    </w:p>
    <w:p w14:paraId="2F64A4D8">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7" w:name="heading_8"/>
      <w:r>
        <w:rPr>
          <w:rFonts w:hint="eastAsia" w:ascii="宋体" w:hAnsi="宋体" w:eastAsia="宋体" w:cs="宋体"/>
          <w:b/>
          <w:sz w:val="24"/>
          <w:szCs w:val="24"/>
          <w:highlight w:val="none"/>
        </w:rPr>
        <w:t xml:space="preserve">第七条 售后服务与 </w:t>
      </w:r>
      <w:r>
        <w:rPr>
          <w:rFonts w:hint="eastAsia" w:ascii="宋体" w:hAnsi="宋体" w:eastAsia="宋体" w:cs="宋体"/>
          <w:b/>
          <w:sz w:val="24"/>
          <w:szCs w:val="24"/>
          <w:highlight w:val="none"/>
          <w:lang w:eastAsia="zh-CN"/>
        </w:rPr>
        <w:t>4 年</w:t>
      </w:r>
      <w:r>
        <w:rPr>
          <w:rFonts w:hint="eastAsia" w:ascii="宋体" w:hAnsi="宋体" w:eastAsia="宋体" w:cs="宋体"/>
          <w:b/>
          <w:sz w:val="24"/>
          <w:szCs w:val="24"/>
          <w:highlight w:val="none"/>
        </w:rPr>
        <w:t>标准化维保</w:t>
      </w:r>
      <w:bookmarkEnd w:id="7"/>
    </w:p>
    <w:p w14:paraId="04C797EB">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7.1 维保服务起算</w:t>
      </w:r>
      <w:r>
        <w:rPr>
          <w:rFonts w:hint="eastAsia" w:ascii="宋体" w:hAnsi="宋体" w:eastAsia="宋体" w:cs="宋体"/>
          <w:b w:val="0"/>
          <w:bCs w:val="0"/>
          <w:sz w:val="24"/>
          <w:szCs w:val="24"/>
          <w:highlight w:val="none"/>
        </w:rPr>
        <w:t>时间：自本项目整体竣工验收合格之日起，维保服务期限 5 整年。</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7.2 维保服务内容：系统功能更新、BUG 修复、安全补丁升级；软硬件故障排查维修；远程技术支持咨询；故障响应处理</w:t>
      </w:r>
      <w:r>
        <w:rPr>
          <w:rFonts w:hint="eastAsia" w:ascii="宋体" w:hAnsi="宋体" w:eastAsia="宋体" w:cs="宋体"/>
          <w:sz w:val="24"/>
          <w:szCs w:val="24"/>
          <w:highlight w:val="none"/>
        </w:rPr>
        <w:t>。</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7.3 按乙方投标承诺执行本地化服务：□乙方在珠海设立本地化服务团队。</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7.4 故障响应：重大故障系统瘫痪，乙方快速响应处置；一般问题及时答疑处理。</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7.5 维保范围不含：甲方人为误操作、私自修改程序、第三方硬件损坏、甲方自行新增的定制化开发需求。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7.6 每个维保年度届满，乙方须提交年度维保工作报告，经甲方考核合格后方可申请当期维保款项；若该维保年度乙方维保服务不达标，甲方有权扣除当期部分或全部维保款项。</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 xml:space="preserve">7.7 </w:t>
      </w:r>
      <w:r>
        <w:rPr>
          <w:rFonts w:hint="eastAsia" w:ascii="宋体" w:hAnsi="宋体" w:eastAsia="宋体" w:cs="宋体"/>
          <w:sz w:val="24"/>
          <w:szCs w:val="24"/>
          <w:highlight w:val="none"/>
          <w:lang w:eastAsia="zh-CN"/>
        </w:rPr>
        <w:t>4 年</w:t>
      </w:r>
      <w:r>
        <w:rPr>
          <w:rFonts w:hint="eastAsia" w:ascii="宋体" w:hAnsi="宋体" w:eastAsia="宋体" w:cs="宋体"/>
          <w:sz w:val="24"/>
          <w:szCs w:val="24"/>
          <w:highlight w:val="none"/>
        </w:rPr>
        <w:t>维保期满后，双方可另行签订运维服务协议。</w:t>
      </w:r>
    </w:p>
    <w:p w14:paraId="320315A7">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8" w:name="heading_9"/>
      <w:r>
        <w:rPr>
          <w:rFonts w:hint="eastAsia" w:ascii="宋体" w:hAnsi="宋体" w:eastAsia="宋体" w:cs="宋体"/>
          <w:b/>
          <w:sz w:val="24"/>
          <w:szCs w:val="24"/>
          <w:highlight w:val="none"/>
        </w:rPr>
        <w:t>第八条 知识产权</w:t>
      </w:r>
      <w:bookmarkEnd w:id="8"/>
    </w:p>
    <w:p w14:paraId="5A31BCF4">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8.1 本项目定制开发产生的业务代码、业务逻辑、项目文档、项目成果，知识产权归</w:t>
      </w:r>
      <w:r>
        <w:rPr>
          <w:rFonts w:hint="eastAsia" w:ascii="宋体" w:hAnsi="宋体" w:eastAsia="宋体" w:cs="宋体"/>
          <w:b/>
          <w:sz w:val="24"/>
          <w:szCs w:val="24"/>
          <w:highlight w:val="none"/>
        </w:rPr>
        <w:t>甲方所有</w:t>
      </w:r>
      <w:r>
        <w:rPr>
          <w:rFonts w:hint="eastAsia" w:ascii="宋体" w:hAnsi="宋体" w:eastAsia="宋体" w:cs="宋体"/>
          <w:sz w:val="24"/>
          <w:szCs w:val="24"/>
          <w:highlight w:val="none"/>
        </w:rPr>
        <w:t>。乙方原有通用飞控基础框架、通用算法、公共组件知识产权归乙方所有，乙方授予甲方永久免费、非独占许可，保障甲方在本项目及后续业务正常使用。乙方不得将本项目定制业务代码用于其他第三方项目。</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8.2 乙方保证软件、硬件、引用开源组件不侵犯第三方知识产权；如发生第三方侵权追责，全部责任由乙方承担，给甲方造成经济损失的</w:t>
      </w:r>
      <w:r>
        <w:rPr>
          <w:rFonts w:hint="eastAsia" w:ascii="宋体" w:hAnsi="宋体" w:eastAsia="宋体" w:cs="宋体"/>
          <w:sz w:val="24"/>
          <w:szCs w:val="24"/>
          <w:highlight w:val="none"/>
          <w:lang w:eastAsia="zh-CN"/>
        </w:rPr>
        <w:t>，乙方应全额</w:t>
      </w:r>
      <w:r>
        <w:rPr>
          <w:rFonts w:hint="eastAsia" w:ascii="宋体" w:hAnsi="宋体" w:eastAsia="宋体" w:cs="宋体"/>
          <w:sz w:val="24"/>
          <w:szCs w:val="24"/>
          <w:highlight w:val="none"/>
        </w:rPr>
        <w:t>赔偿。</w:t>
      </w:r>
    </w:p>
    <w:p w14:paraId="483B08B6">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lang w:eastAsia="zh-CN"/>
        </w:rPr>
      </w:pPr>
      <w:bookmarkStart w:id="9" w:name="heading_10"/>
      <w:r>
        <w:rPr>
          <w:rFonts w:hint="eastAsia" w:ascii="宋体" w:hAnsi="宋体" w:eastAsia="宋体" w:cs="宋体"/>
          <w:b/>
          <w:sz w:val="24"/>
          <w:szCs w:val="24"/>
          <w:highlight w:val="none"/>
        </w:rPr>
        <w:t>第九条 投标保证金与履约保证金</w:t>
      </w:r>
      <w:bookmarkEnd w:id="9"/>
    </w:p>
    <w:p w14:paraId="56FD9E95">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9.1 投标保证金：乙方完成本合同签订后，由乙方发起申请，甲方在 15 个</w:t>
      </w:r>
      <w:r>
        <w:rPr>
          <w:rFonts w:hint="eastAsia" w:ascii="宋体" w:hAnsi="宋体" w:eastAsia="宋体" w:cs="宋体"/>
          <w:sz w:val="24"/>
          <w:szCs w:val="24"/>
          <w:highlight w:val="none"/>
          <w:lang w:val="en-US" w:eastAsia="zh-CN"/>
        </w:rPr>
        <w:t>工作日</w:t>
      </w:r>
      <w:r>
        <w:rPr>
          <w:rFonts w:hint="eastAsia" w:ascii="宋体" w:hAnsi="宋体" w:eastAsia="宋体" w:cs="宋体"/>
          <w:sz w:val="24"/>
          <w:szCs w:val="24"/>
          <w:highlight w:val="none"/>
        </w:rPr>
        <w:t>内将投标保证金原路退回乙方对公账户。</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9.2 履约保证金</w:t>
      </w:r>
      <w:r>
        <w:rPr>
          <w:rFonts w:hint="eastAsia" w:ascii="宋体" w:hAnsi="宋体" w:eastAsia="宋体" w:cs="宋体"/>
          <w:sz w:val="24"/>
          <w:szCs w:val="24"/>
          <w:highlight w:val="none"/>
          <w:lang w:eastAsia="zh-CN"/>
        </w:rPr>
        <w:t>的缴纳与退还</w:t>
      </w:r>
      <w:r>
        <w:rPr>
          <w:rFonts w:hint="eastAsia" w:ascii="宋体" w:hAnsi="宋体" w:eastAsia="宋体" w:cs="宋体"/>
          <w:sz w:val="24"/>
          <w:szCs w:val="24"/>
          <w:highlight w:val="none"/>
        </w:rPr>
        <w:t>：</w:t>
      </w:r>
    </w:p>
    <w:p w14:paraId="2D2D10BF">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成交总金额的10%（银行转账）。履约</w:t>
      </w:r>
      <w:r>
        <w:rPr>
          <w:rFonts w:hint="eastAsia" w:ascii="宋体" w:hAnsi="宋体" w:eastAsia="宋体" w:cs="宋体"/>
          <w:sz w:val="24"/>
          <w:szCs w:val="24"/>
          <w:highlight w:val="none"/>
          <w:lang w:val="en-US" w:eastAsia="zh-CN"/>
        </w:rPr>
        <w:t>保证金</w:t>
      </w:r>
      <w:r>
        <w:rPr>
          <w:rFonts w:hint="eastAsia" w:ascii="宋体" w:hAnsi="宋体" w:eastAsia="宋体" w:cs="宋体"/>
          <w:sz w:val="24"/>
          <w:szCs w:val="24"/>
          <w:highlight w:val="none"/>
        </w:rPr>
        <w:t xml:space="preserve">具体要求如下： </w:t>
      </w:r>
    </w:p>
    <w:p w14:paraId="2D54D5B6">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(1)提交时限：</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须在领取中标通知后，合同签订前提交履约担保，</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未能在规定时间提交履约保证</w:t>
      </w:r>
      <w:r>
        <w:rPr>
          <w:rFonts w:hint="eastAsia" w:ascii="宋体" w:hAnsi="宋体" w:eastAsia="宋体" w:cs="宋体"/>
          <w:sz w:val="24"/>
          <w:szCs w:val="24"/>
          <w:highlight w:val="none"/>
          <w:lang w:val="en-US" w:eastAsia="zh-CN"/>
        </w:rPr>
        <w:t>金</w:t>
      </w:r>
      <w:r>
        <w:rPr>
          <w:rFonts w:hint="eastAsia" w:ascii="宋体" w:hAnsi="宋体" w:eastAsia="宋体" w:cs="宋体"/>
          <w:sz w:val="24"/>
          <w:szCs w:val="24"/>
          <w:highlight w:val="none"/>
        </w:rPr>
        <w:t>，将被视为</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自动放弃本项目成交资格。给采购人造成的损失超过询比保证金数额的，</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 xml:space="preserve">还应当对超过部分予以赔偿。 </w:t>
      </w:r>
    </w:p>
    <w:p w14:paraId="240C4E47">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 xml:space="preserve">采用现金方式提交履约担保。 </w:t>
      </w:r>
    </w:p>
    <w:p w14:paraId="259477A4">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的履约保证金必须以</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 xml:space="preserve">的名义转入采购人以下帐号： </w:t>
      </w:r>
    </w:p>
    <w:p w14:paraId="20D2102F">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公司名称：珠海正方产业开发运营有限公司 </w:t>
      </w:r>
    </w:p>
    <w:p w14:paraId="6ED9B81E">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开户行：中国农业银行拱北支行</w:t>
      </w:r>
    </w:p>
    <w:p w14:paraId="543E9772">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账号：44350401040026946</w:t>
      </w:r>
    </w:p>
    <w:p w14:paraId="6930BC40">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(4)退保约定：验收合格后2个月内（有未决、索偿事宜除外）一次性退还</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（无息）。</w:t>
      </w:r>
    </w:p>
    <w:p w14:paraId="102B34DF">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给</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造成的损失超过履约担保金额的，</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有权不予退还履约担保，同时</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应对超过部分予以赔偿。</w:t>
      </w:r>
    </w:p>
    <w:p w14:paraId="6F9B0FE9">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提交的履约担保是对本合同约定的</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的全部义务（包括但不限于</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违约后应支付的违约金和赔偿金）的担保，</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的任何一次不履行或不完全履行合同义务的行为，</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均有权先在履约担保中扣除。</w:t>
      </w:r>
    </w:p>
    <w:p w14:paraId="461D5D92">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10" w:name="heading_11"/>
      <w:r>
        <w:rPr>
          <w:rFonts w:hint="eastAsia" w:ascii="宋体" w:hAnsi="宋体" w:eastAsia="宋体" w:cs="宋体"/>
          <w:b/>
          <w:sz w:val="24"/>
          <w:szCs w:val="24"/>
          <w:highlight w:val="none"/>
        </w:rPr>
        <w:t>第十条 双方权利义务</w:t>
      </w:r>
      <w:bookmarkEnd w:id="10"/>
    </w:p>
    <w:p w14:paraId="53CFBACB">
      <w:pPr>
        <w:keepNext w:val="0"/>
        <w:keepLines w:val="0"/>
        <w:pageBreakBefore w:val="0"/>
        <w:widowControl w:val="0"/>
        <w:shd w:val="clear"/>
        <w:kinsoku/>
        <w:wordWrap/>
        <w:overflowPunct/>
        <w:topLinePunct w:val="0"/>
        <w:autoSpaceDE w:val="0"/>
        <w:autoSpaceDN w:val="0"/>
        <w:bidi w:val="0"/>
        <w:adjustRightInd/>
        <w:snapToGrid/>
        <w:spacing w:before="300" w:after="120" w:line="360" w:lineRule="auto"/>
        <w:ind w:left="0" w:firstLine="482" w:firstLineChars="200"/>
        <w:jc w:val="left"/>
        <w:textAlignment w:val="auto"/>
        <w:outlineLvl w:val="2"/>
        <w:rPr>
          <w:rFonts w:hint="eastAsia" w:ascii="宋体" w:hAnsi="宋体" w:eastAsia="宋体" w:cs="宋体"/>
          <w:sz w:val="24"/>
          <w:szCs w:val="24"/>
          <w:highlight w:val="none"/>
        </w:rPr>
      </w:pPr>
      <w:bookmarkStart w:id="11" w:name="heading_12"/>
      <w:r>
        <w:rPr>
          <w:rFonts w:hint="eastAsia" w:ascii="宋体" w:hAnsi="宋体" w:eastAsia="宋体" w:cs="宋体"/>
          <w:b/>
          <w:sz w:val="24"/>
          <w:szCs w:val="24"/>
          <w:highlight w:val="none"/>
        </w:rPr>
        <w:t>10.1 甲方权利义务</w:t>
      </w:r>
      <w:bookmarkEnd w:id="11"/>
    </w:p>
    <w:p w14:paraId="46B3BB73">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10.1.1 向乙方提供项目必要基础资料，对乙方工作进行监督检查；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10.1.2 按合同约定组织项目验收，按合同约定支付合同价款；</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10.1.3 有权调整项目承包范围、工程量，按本合同第一条执行；</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10.1.4 及时组织需求确认、成果审核会议。</w:t>
      </w:r>
    </w:p>
    <w:p w14:paraId="37E0A914">
      <w:pPr>
        <w:keepNext w:val="0"/>
        <w:keepLines w:val="0"/>
        <w:pageBreakBefore w:val="0"/>
        <w:widowControl w:val="0"/>
        <w:shd w:val="clear"/>
        <w:kinsoku/>
        <w:wordWrap/>
        <w:overflowPunct/>
        <w:topLinePunct w:val="0"/>
        <w:autoSpaceDE w:val="0"/>
        <w:autoSpaceDN w:val="0"/>
        <w:bidi w:val="0"/>
        <w:adjustRightInd/>
        <w:snapToGrid/>
        <w:spacing w:before="300" w:after="120" w:line="360" w:lineRule="auto"/>
        <w:ind w:left="0" w:firstLine="482" w:firstLineChars="200"/>
        <w:jc w:val="left"/>
        <w:textAlignment w:val="auto"/>
        <w:outlineLvl w:val="2"/>
        <w:rPr>
          <w:rFonts w:hint="eastAsia" w:ascii="宋体" w:hAnsi="宋体" w:eastAsia="宋体" w:cs="宋体"/>
          <w:sz w:val="24"/>
          <w:szCs w:val="24"/>
          <w:highlight w:val="none"/>
        </w:rPr>
      </w:pPr>
      <w:bookmarkStart w:id="12" w:name="heading_13"/>
      <w:r>
        <w:rPr>
          <w:rFonts w:hint="eastAsia" w:ascii="宋体" w:hAnsi="宋体" w:eastAsia="宋体" w:cs="宋体"/>
          <w:b/>
          <w:sz w:val="24"/>
          <w:szCs w:val="24"/>
          <w:highlight w:val="none"/>
        </w:rPr>
        <w:t>10.2 乙方权利义务</w:t>
      </w:r>
      <w:bookmarkEnd w:id="12"/>
    </w:p>
    <w:p w14:paraId="5A841518">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10.2.1 严格按照招标文件、技术任务书、投标文件完成全部开发供货实施工作，保证所有提交材料真实有效；保证按本合同约定税目、税率开具合规增值税专用发票，如乙方开票税目、税率错误，乙方有义务无条件重新开具，由此造成甲方损失的，乙方承担全部赔偿责任</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10.2.2 项目实施期间，乙方人员人身安全、财产损失，除甲方原因外</w:t>
      </w:r>
      <w:r>
        <w:rPr>
          <w:rFonts w:hint="eastAsia" w:ascii="宋体" w:hAnsi="宋体" w:eastAsia="宋体" w:cs="宋体"/>
          <w:sz w:val="24"/>
          <w:szCs w:val="24"/>
          <w:highlight w:val="none"/>
          <w:lang w:eastAsia="zh-CN"/>
        </w:rPr>
        <w:t>，全部</w:t>
      </w:r>
      <w:r>
        <w:rPr>
          <w:rFonts w:hint="eastAsia" w:ascii="宋体" w:hAnsi="宋体" w:eastAsia="宋体" w:cs="宋体"/>
          <w:sz w:val="24"/>
          <w:szCs w:val="24"/>
          <w:highlight w:val="none"/>
        </w:rPr>
        <w:t>由乙方自行承担；</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10.2</w:t>
      </w:r>
      <w:r>
        <w:rPr>
          <w:rFonts w:hint="eastAsia" w:ascii="宋体" w:hAnsi="宋体" w:eastAsia="宋体" w:cs="宋体"/>
          <w:b w:val="0"/>
          <w:bCs w:val="0"/>
          <w:sz w:val="24"/>
          <w:szCs w:val="24"/>
          <w:highlight w:val="none"/>
        </w:rPr>
        <w:t>.3未经甲方书面同意，乙方不得将本合同项下权利义务全部或部分转让、转包、分包给第三方。发生转包</w:t>
      </w:r>
      <w:r>
        <w:rPr>
          <w:rFonts w:hint="eastAsia" w:ascii="宋体" w:hAnsi="宋体" w:eastAsia="宋体" w:cs="宋体"/>
          <w:b w:val="0"/>
          <w:bCs w:val="0"/>
          <w:sz w:val="24"/>
          <w:szCs w:val="24"/>
          <w:highlight w:val="none"/>
          <w:lang w:eastAsia="zh-CN"/>
        </w:rPr>
        <w:t>、分包</w:t>
      </w:r>
      <w:r>
        <w:rPr>
          <w:rFonts w:hint="eastAsia" w:ascii="宋体" w:hAnsi="宋体" w:eastAsia="宋体" w:cs="宋体"/>
          <w:b w:val="0"/>
          <w:bCs w:val="0"/>
          <w:sz w:val="24"/>
          <w:szCs w:val="24"/>
          <w:highlight w:val="none"/>
        </w:rPr>
        <w:t>属于严重违约。发生转包</w:t>
      </w:r>
      <w:r>
        <w:rPr>
          <w:rFonts w:hint="eastAsia" w:ascii="宋体" w:hAnsi="宋体" w:eastAsia="宋体" w:cs="宋体"/>
          <w:b w:val="0"/>
          <w:bCs w:val="0"/>
          <w:sz w:val="24"/>
          <w:szCs w:val="24"/>
          <w:highlight w:val="none"/>
          <w:lang w:eastAsia="zh-CN"/>
        </w:rPr>
        <w:t>、分包</w:t>
      </w:r>
      <w:r>
        <w:rPr>
          <w:rFonts w:hint="eastAsia" w:ascii="宋体" w:hAnsi="宋体" w:eastAsia="宋体" w:cs="宋体"/>
          <w:b w:val="0"/>
          <w:bCs w:val="0"/>
          <w:sz w:val="24"/>
          <w:szCs w:val="24"/>
          <w:highlight w:val="none"/>
        </w:rPr>
        <w:t>，甲方有权解除合同，乙方返还甲方已支付全部款项（甲方书面确认已完成工作成果费用除外），并按合同总价 30% 向甲方支付违约金</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违约金不足以弥补损失的，乙方予以补足赔偿</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10.2.4 乙方对甲方提供的资料、业</w:t>
      </w:r>
      <w:r>
        <w:rPr>
          <w:rFonts w:hint="eastAsia" w:ascii="宋体" w:hAnsi="宋体" w:eastAsia="宋体" w:cs="宋体"/>
          <w:sz w:val="24"/>
          <w:szCs w:val="24"/>
          <w:highlight w:val="none"/>
        </w:rPr>
        <w:t>务数据、项目成果承担保密义务，未经甲方书面许可，不得复制、泄露、修改、转让，不得用于本项目以外用途，否则承担全部法律责任</w:t>
      </w:r>
      <w:r>
        <w:rPr>
          <w:rFonts w:hint="eastAsia" w:ascii="宋体" w:hAnsi="宋体" w:eastAsia="宋体" w:cs="宋体"/>
          <w:sz w:val="24"/>
          <w:szCs w:val="24"/>
          <w:highlight w:val="none"/>
          <w:lang w:eastAsia="zh-CN"/>
        </w:rPr>
        <w:t>并</w:t>
      </w:r>
      <w:r>
        <w:rPr>
          <w:rFonts w:hint="eastAsia" w:ascii="宋体" w:hAnsi="宋体" w:eastAsia="宋体" w:cs="宋体"/>
          <w:sz w:val="24"/>
          <w:szCs w:val="24"/>
          <w:highlight w:val="none"/>
        </w:rPr>
        <w:t>赔偿</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10.2.5 负责配合甲方完成成果送审，根据审查意见免费修改完善成果。</w:t>
      </w:r>
    </w:p>
    <w:p w14:paraId="06CB150D">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13" w:name="heading_14"/>
      <w:r>
        <w:rPr>
          <w:rFonts w:hint="eastAsia" w:ascii="宋体" w:hAnsi="宋体" w:eastAsia="宋体" w:cs="宋体"/>
          <w:b/>
          <w:sz w:val="24"/>
          <w:szCs w:val="24"/>
          <w:highlight w:val="none"/>
        </w:rPr>
        <w:t>第十一条 合同变更、解除、终止</w:t>
      </w:r>
      <w:bookmarkEnd w:id="13"/>
    </w:p>
    <w:p w14:paraId="003FCF7D">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 因政策原因导致项目终止，甲方按乙方已经完成并且甲方书面确认的实际工作量结算费用。</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11.2 因自然灾害、恶劣气候等不可抗力造成损失，按照法律规定处理。</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11.3 甲方要求终止或</w:t>
      </w:r>
      <w:r>
        <w:rPr>
          <w:rFonts w:hint="eastAsia" w:ascii="宋体" w:hAnsi="宋体" w:eastAsia="宋体" w:cs="宋体"/>
          <w:b w:val="0"/>
          <w:bCs w:val="0"/>
          <w:sz w:val="24"/>
          <w:szCs w:val="24"/>
          <w:highlight w:val="none"/>
        </w:rPr>
        <w:t>解除合同，乙方尚未开展工作，甲方无需支付任何费用；乙方已经开展工作，甲方仅对经甲方书面确认的实际工作量支付报酬，不承担其他赔偿补偿；因乙方违约甲方行使解除权不适用本条。</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11.4 乙方发生下列情形，甲方有权单方解除合同并追究违约责任：</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（1）转包、违法分包本项目；</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（2）工期严重滞后，经催告拒不整改；</w:t>
      </w:r>
      <w:r>
        <w:rPr>
          <w:rFonts w:hint="eastAsia" w:ascii="宋体" w:hAnsi="宋体" w:eastAsia="宋体" w:cs="宋体"/>
          <w:b w:val="0"/>
          <w:bCs w:val="0"/>
          <w:sz w:val="24"/>
          <w:szCs w:val="24"/>
          <w:highlight w:val="none"/>
        </w:rPr>
        <w:br w:type="textWrapping"/>
      </w:r>
      <w:r>
        <w:rPr>
          <w:rFonts w:hint="eastAsia" w:ascii="宋体" w:hAnsi="宋体" w:eastAsia="宋体" w:cs="宋体"/>
          <w:sz w:val="24"/>
          <w:szCs w:val="24"/>
          <w:highlight w:val="none"/>
        </w:rPr>
        <w:t>（3）多次整改仍不能达到验收标准；</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（4）提供虚假资料、弄虚作假；</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（5）严重违反保密义务；</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（6）维保服务连续一个周期考核不合格，经催告仍不整改。</w:t>
      </w:r>
    </w:p>
    <w:p w14:paraId="308244C3">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14" w:name="heading_15"/>
      <w:r>
        <w:rPr>
          <w:rFonts w:hint="eastAsia" w:ascii="宋体" w:hAnsi="宋体" w:eastAsia="宋体" w:cs="宋体"/>
          <w:b/>
          <w:sz w:val="24"/>
          <w:szCs w:val="24"/>
          <w:highlight w:val="none"/>
        </w:rPr>
        <w:t>第十二条 违约责任</w:t>
      </w:r>
      <w:bookmarkEnd w:id="14"/>
    </w:p>
    <w:p w14:paraId="737BD10E">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 乙方未按合同约定工期完成交付，每逾期一日，向甲方支付</w:t>
      </w:r>
      <w:r>
        <w:rPr>
          <w:rFonts w:hint="eastAsia" w:ascii="宋体" w:hAnsi="宋体" w:eastAsia="宋体" w:cs="宋体"/>
          <w:sz w:val="24"/>
          <w:szCs w:val="24"/>
          <w:highlight w:val="none"/>
          <w:lang w:val="en-US" w:eastAsia="zh-CN"/>
        </w:rPr>
        <w:t>20000.00元</w:t>
      </w:r>
      <w:r>
        <w:rPr>
          <w:rFonts w:hint="eastAsia" w:ascii="宋体" w:hAnsi="宋体" w:eastAsia="宋体" w:cs="宋体"/>
          <w:sz w:val="24"/>
          <w:szCs w:val="24"/>
          <w:highlight w:val="none"/>
        </w:rPr>
        <w:t>违约金；逾期超过</w:t>
      </w:r>
      <w:r>
        <w:rPr>
          <w:rFonts w:hint="eastAsia" w:ascii="宋体" w:hAnsi="宋体" w:eastAsia="宋体" w:cs="宋体"/>
          <w:sz w:val="24"/>
          <w:szCs w:val="24"/>
          <w:highlight w:val="none"/>
          <w:lang w:val="en-US" w:eastAsia="zh-CN"/>
        </w:rPr>
        <w:t xml:space="preserve">5 </w:t>
      </w:r>
      <w:r>
        <w:rPr>
          <w:rFonts w:hint="eastAsia" w:ascii="宋体" w:hAnsi="宋体" w:eastAsia="宋体" w:cs="宋体"/>
          <w:sz w:val="24"/>
          <w:szCs w:val="24"/>
          <w:highlight w:val="none"/>
        </w:rPr>
        <w:t>日，甲方有权解除合同，乙方退还甲方已收取全部款项，并赔偿甲方实际损失。</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12.2 项目成果多次整改仍达不到合同及技术任务书标准，甲方有权解除合同，乙方退还甲方已收取全部款项，赔偿甲方损失。</w:t>
      </w:r>
      <w:bookmarkStart w:id="18" w:name="_GoBack"/>
      <w:bookmarkEnd w:id="18"/>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12.3 乙方维保服务不符合合同约定标准，经甲方书面催告后仍不整改的，甲方有权扣减当期维保费用；造成甲方损失的</w:t>
      </w:r>
      <w:r>
        <w:rPr>
          <w:rFonts w:hint="eastAsia" w:ascii="宋体" w:hAnsi="宋体" w:eastAsia="宋体" w:cs="宋体"/>
          <w:sz w:val="24"/>
          <w:szCs w:val="24"/>
          <w:highlight w:val="none"/>
          <w:lang w:eastAsia="zh-CN"/>
        </w:rPr>
        <w:t>，乙方应另行</w:t>
      </w:r>
      <w:r>
        <w:rPr>
          <w:rFonts w:hint="eastAsia" w:ascii="宋体" w:hAnsi="宋体" w:eastAsia="宋体" w:cs="宋体"/>
          <w:sz w:val="24"/>
          <w:szCs w:val="24"/>
          <w:highlight w:val="none"/>
        </w:rPr>
        <w:t>赔偿。</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12.4 乙方违反保密义务、知识产权约定，应当赔偿甲方全部直接经济损失。</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12.5 乙方转包分包，按本合同 10.2.3 条款执行。</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12.6 乙方开具发票税目、税率、票面信息不符合合同约定及国家税法规定，乙方应当限期重开；逾期未重开造成甲方无法抵扣进项税或产生税务损失的，乙方应当赔偿甲方全部实际损失。</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12.7 乙方出现招标文件约定放弃中标、截标后撤销投标、弄虚作假等情形，投标保证金不予退还，同时承担赔偿责任。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12.8 甲方逾期付款，每逾期一日，按应付未付金额万分之三向乙方支付违约金。</w:t>
      </w:r>
    </w:p>
    <w:p w14:paraId="372F3679">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15" w:name="heading_16"/>
      <w:r>
        <w:rPr>
          <w:rFonts w:hint="eastAsia" w:ascii="宋体" w:hAnsi="宋体" w:eastAsia="宋体" w:cs="宋体"/>
          <w:b/>
          <w:sz w:val="24"/>
          <w:szCs w:val="24"/>
          <w:highlight w:val="none"/>
        </w:rPr>
        <w:t>第十三条 不可抗力</w:t>
      </w:r>
      <w:bookmarkEnd w:id="15"/>
    </w:p>
    <w:p w14:paraId="128DE702">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 不可抗力指不能预见、不能避免且不能克服的客观情况。遭遇不可抗力一方应当及时书面通知对方，并提供有效证明材料。</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13.2 受不可抗力影响，双方可协商延期履行、部分履行；不可抗力持续超过 60 日，双方可协商解除合同，互不承担违约责任。</w:t>
      </w:r>
    </w:p>
    <w:p w14:paraId="315A5828">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16" w:name="heading_17"/>
      <w:r>
        <w:rPr>
          <w:rFonts w:hint="eastAsia" w:ascii="宋体" w:hAnsi="宋体" w:eastAsia="宋体" w:cs="宋体"/>
          <w:b/>
          <w:sz w:val="24"/>
          <w:szCs w:val="24"/>
          <w:highlight w:val="none"/>
        </w:rPr>
        <w:t>第十四条 争议解决</w:t>
      </w:r>
      <w:bookmarkEnd w:id="16"/>
    </w:p>
    <w:p w14:paraId="3F0139FC">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因本协议发生争议，双方协商解决；如果协商不成，双方一致同意向本协议签订地有管辖权的人民法院提起诉讼。同时，由败方承担胜方支出的全部费用，包括但不限于律师费、仲裁费、诉讼费、保全费、保全担保费、差旅费、材料费、调查费、评估费、鉴定费等费用。在双方解决争议的过程中，除甲方明示暂停的外，乙方有义务继续进行本协议约定的工作，不得因此停工、怠工。</w:t>
      </w:r>
    </w:p>
    <w:p w14:paraId="2FBC16AF">
      <w:pPr>
        <w:keepNext w:val="0"/>
        <w:keepLines w:val="0"/>
        <w:pageBreakBefore w:val="0"/>
        <w:widowControl w:val="0"/>
        <w:shd w:val="clear"/>
        <w:kinsoku/>
        <w:wordWrap/>
        <w:overflowPunct/>
        <w:topLinePunct w:val="0"/>
        <w:autoSpaceDE w:val="0"/>
        <w:autoSpaceDN w:val="0"/>
        <w:bidi w:val="0"/>
        <w:adjustRightInd/>
        <w:snapToGrid/>
        <w:spacing w:before="320" w:after="120" w:line="360" w:lineRule="auto"/>
        <w:ind w:left="0" w:firstLine="482" w:firstLineChars="200"/>
        <w:jc w:val="left"/>
        <w:textAlignment w:val="auto"/>
        <w:outlineLvl w:val="1"/>
        <w:rPr>
          <w:rFonts w:hint="eastAsia" w:ascii="宋体" w:hAnsi="宋体" w:eastAsia="宋体" w:cs="宋体"/>
          <w:sz w:val="24"/>
          <w:szCs w:val="24"/>
          <w:highlight w:val="none"/>
        </w:rPr>
      </w:pPr>
      <w:bookmarkStart w:id="17" w:name="heading_18"/>
      <w:r>
        <w:rPr>
          <w:rFonts w:hint="eastAsia" w:ascii="宋体" w:hAnsi="宋体" w:eastAsia="宋体" w:cs="宋体"/>
          <w:b/>
          <w:sz w:val="24"/>
          <w:szCs w:val="24"/>
          <w:highlight w:val="none"/>
        </w:rPr>
        <w:t>第十五条 其他约定</w:t>
      </w:r>
      <w:bookmarkEnd w:id="17"/>
    </w:p>
    <w:p w14:paraId="0966A578">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15.1 本合同未尽事宜，双方签署书面补充协议，补充协议与本合同具有同等法律效力。</w:t>
      </w:r>
      <w:r>
        <w:rPr>
          <w:rFonts w:hint="eastAsia" w:ascii="宋体" w:hAnsi="宋体" w:eastAsia="宋体" w:cs="宋体"/>
          <w:i w:val="0"/>
          <w:iCs w:val="0"/>
          <w:sz w:val="24"/>
          <w:szCs w:val="24"/>
          <w:highlight w:val="none"/>
        </w:rPr>
        <w:br w:type="textWrapping"/>
      </w:r>
      <w:r>
        <w:rPr>
          <w:rFonts w:hint="eastAsia" w:ascii="宋体" w:hAnsi="宋体" w:eastAsia="宋体" w:cs="宋体"/>
          <w:i w:val="0"/>
          <w:iCs w:val="0"/>
          <w:sz w:val="24"/>
          <w:szCs w:val="24"/>
          <w:highlight w:val="none"/>
        </w:rPr>
        <w:t>15.</w:t>
      </w:r>
      <w:r>
        <w:rPr>
          <w:rFonts w:hint="eastAsia" w:ascii="宋体" w:hAnsi="宋体" w:eastAsia="宋体" w:cs="宋体"/>
          <w:i w:val="0"/>
          <w:iCs w:val="0"/>
          <w:sz w:val="24"/>
          <w:szCs w:val="24"/>
          <w:highlight w:val="none"/>
          <w:lang w:val="en-US" w:eastAsia="zh-CN"/>
        </w:rPr>
        <w:t>2</w:t>
      </w:r>
      <w:r>
        <w:rPr>
          <w:rFonts w:hint="eastAsia" w:ascii="宋体" w:hAnsi="宋体" w:eastAsia="宋体" w:cs="宋体"/>
          <w:i w:val="0"/>
          <w:iCs w:val="0"/>
          <w:sz w:val="24"/>
          <w:szCs w:val="24"/>
          <w:highlight w:val="none"/>
        </w:rPr>
        <w:t xml:space="preserve"> 本合同一式</w:t>
      </w:r>
      <w:r>
        <w:rPr>
          <w:rFonts w:hint="eastAsia" w:ascii="宋体" w:hAnsi="宋体" w:eastAsia="宋体" w:cs="宋体"/>
          <w:i w:val="0"/>
          <w:iCs w:val="0"/>
          <w:sz w:val="24"/>
          <w:szCs w:val="24"/>
          <w:highlight w:val="none"/>
          <w:lang w:val="en-US" w:eastAsia="zh-CN"/>
        </w:rPr>
        <w:t>肆</w:t>
      </w:r>
      <w:r>
        <w:rPr>
          <w:rFonts w:hint="eastAsia" w:ascii="宋体" w:hAnsi="宋体" w:eastAsia="宋体" w:cs="宋体"/>
          <w:i w:val="0"/>
          <w:iCs w:val="0"/>
          <w:sz w:val="24"/>
          <w:szCs w:val="24"/>
          <w:highlight w:val="none"/>
        </w:rPr>
        <w:t>份，甲方执</w:t>
      </w:r>
      <w:r>
        <w:rPr>
          <w:rFonts w:hint="eastAsia" w:ascii="宋体" w:hAnsi="宋体" w:eastAsia="宋体" w:cs="宋体"/>
          <w:i w:val="0"/>
          <w:iCs w:val="0"/>
          <w:sz w:val="24"/>
          <w:szCs w:val="24"/>
          <w:highlight w:val="none"/>
          <w:lang w:val="en-US" w:eastAsia="zh-CN"/>
        </w:rPr>
        <w:t>贰</w:t>
      </w:r>
      <w:r>
        <w:rPr>
          <w:rFonts w:hint="eastAsia" w:ascii="宋体" w:hAnsi="宋体" w:eastAsia="宋体" w:cs="宋体"/>
          <w:i w:val="0"/>
          <w:iCs w:val="0"/>
          <w:sz w:val="24"/>
          <w:szCs w:val="24"/>
          <w:highlight w:val="none"/>
        </w:rPr>
        <w:t>份，乙方执</w:t>
      </w:r>
      <w:r>
        <w:rPr>
          <w:rFonts w:hint="eastAsia" w:ascii="宋体" w:hAnsi="宋体" w:eastAsia="宋体" w:cs="宋体"/>
          <w:i w:val="0"/>
          <w:iCs w:val="0"/>
          <w:sz w:val="24"/>
          <w:szCs w:val="24"/>
          <w:highlight w:val="none"/>
          <w:lang w:val="en-US" w:eastAsia="zh-CN"/>
        </w:rPr>
        <w:t>贰</w:t>
      </w:r>
      <w:r>
        <w:rPr>
          <w:rFonts w:hint="eastAsia" w:ascii="宋体" w:hAnsi="宋体" w:eastAsia="宋体" w:cs="宋体"/>
          <w:i w:val="0"/>
          <w:iCs w:val="0"/>
          <w:sz w:val="24"/>
          <w:szCs w:val="24"/>
          <w:highlight w:val="none"/>
        </w:rPr>
        <w:t>份，双方签字盖章</w:t>
      </w:r>
      <w:r>
        <w:rPr>
          <w:rFonts w:hint="eastAsia" w:ascii="宋体" w:hAnsi="宋体" w:eastAsia="宋体" w:cs="宋体"/>
          <w:i w:val="0"/>
          <w:iCs w:val="0"/>
          <w:sz w:val="24"/>
          <w:szCs w:val="24"/>
          <w:highlight w:val="none"/>
          <w:lang w:eastAsia="zh-CN"/>
        </w:rPr>
        <w:t>之日起</w:t>
      </w:r>
      <w:r>
        <w:rPr>
          <w:rFonts w:hint="eastAsia" w:ascii="宋体" w:hAnsi="宋体" w:eastAsia="宋体" w:cs="宋体"/>
          <w:i w:val="0"/>
          <w:iCs w:val="0"/>
          <w:sz w:val="24"/>
          <w:szCs w:val="24"/>
          <w:highlight w:val="none"/>
        </w:rPr>
        <w:t>生效。</w:t>
      </w:r>
    </w:p>
    <w:p w14:paraId="0AB59120">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w:t>
      </w:r>
      <w:r>
        <w:rPr>
          <w:rFonts w:hint="eastAsia" w:ascii="宋体" w:hAnsi="宋体" w:eastAsia="宋体" w:cs="宋体"/>
          <w:i w:val="0"/>
          <w:iCs w:val="0"/>
          <w:sz w:val="24"/>
          <w:szCs w:val="24"/>
          <w:highlight w:val="none"/>
        </w:rPr>
        <w:br w:type="textWrapping"/>
      </w:r>
    </w:p>
    <w:p w14:paraId="697B2733">
      <w:pPr>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br w:type="page"/>
      </w:r>
    </w:p>
    <w:p w14:paraId="7985E446">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（本页为签署页，无正文）</w:t>
      </w:r>
    </w:p>
    <w:p w14:paraId="4B117F2B">
      <w:pPr>
        <w:spacing w:line="560" w:lineRule="exact"/>
        <w:ind w:firstLine="482" w:firstLineChars="200"/>
        <w:jc w:val="center"/>
        <w:rPr>
          <w:rFonts w:hint="eastAsia" w:ascii="宋体" w:hAnsi="宋体" w:cs="宋体"/>
          <w:b/>
          <w:color w:val="auto"/>
          <w:sz w:val="24"/>
          <w:szCs w:val="24"/>
        </w:rPr>
      </w:pPr>
      <w:r>
        <w:rPr>
          <w:rFonts w:hint="eastAsia" w:ascii="宋体" w:hAnsi="宋体" w:cs="宋体"/>
          <w:b/>
          <w:color w:val="auto"/>
          <w:sz w:val="24"/>
          <w:szCs w:val="24"/>
        </w:rPr>
        <w:t>（</w:t>
      </w:r>
      <w:r>
        <w:rPr>
          <w:rFonts w:hint="eastAsia" w:ascii="宋体" w:hAnsi="宋体" w:cs="宋体"/>
          <w:b/>
          <w:color w:val="auto"/>
          <w:sz w:val="24"/>
          <w:szCs w:val="24"/>
          <w:lang w:val="en-US" w:eastAsia="zh-CN"/>
        </w:rPr>
        <w:t>以下无正文</w:t>
      </w:r>
      <w:r>
        <w:rPr>
          <w:rFonts w:hint="eastAsia" w:ascii="宋体" w:hAnsi="宋体" w:cs="宋体"/>
          <w:b/>
          <w:color w:val="auto"/>
          <w:sz w:val="24"/>
          <w:szCs w:val="24"/>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1"/>
        <w:gridCol w:w="4261"/>
      </w:tblGrid>
      <w:tr w14:paraId="1989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4561" w:type="dxa"/>
            <w:noWrap w:val="0"/>
            <w:vAlign w:val="center"/>
          </w:tcPr>
          <w:p w14:paraId="060613AD">
            <w:pPr>
              <w:spacing w:before="100" w:beforeAutospacing="1" w:after="100" w:afterAutospacing="1" w:line="560" w:lineRule="exact"/>
              <w:ind w:left="1687" w:hanging="1476" w:hangingChars="700"/>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rPr>
              <w:t>甲方（盖章）：</w:t>
            </w:r>
            <w:r>
              <w:rPr>
                <w:rFonts w:hint="eastAsia" w:ascii="宋体" w:hAnsi="宋体" w:eastAsia="宋体" w:cs="宋体"/>
                <w:b w:val="0"/>
                <w:bCs w:val="0"/>
                <w:color w:val="auto"/>
                <w:sz w:val="21"/>
                <w:szCs w:val="21"/>
                <w:lang w:eastAsia="zh-CN"/>
              </w:rPr>
              <w:t>珠海正方产业开发运营有限公司</w:t>
            </w:r>
          </w:p>
        </w:tc>
        <w:tc>
          <w:tcPr>
            <w:tcW w:w="4261" w:type="dxa"/>
            <w:noWrap w:val="0"/>
            <w:vAlign w:val="center"/>
          </w:tcPr>
          <w:p w14:paraId="1CD1C996">
            <w:pPr>
              <w:spacing w:before="100" w:beforeAutospacing="1" w:after="100" w:afterAutospacing="1" w:line="560" w:lineRule="exact"/>
              <w:ind w:left="1687" w:hanging="1476" w:hangingChars="700"/>
              <w:rPr>
                <w:rFonts w:hint="eastAsia" w:ascii="宋体" w:hAnsi="宋体" w:eastAsia="宋体" w:cs="宋体"/>
                <w:b/>
                <w:bCs/>
                <w:color w:val="auto"/>
                <w:sz w:val="21"/>
                <w:szCs w:val="21"/>
              </w:rPr>
            </w:pPr>
            <w:r>
              <w:rPr>
                <w:rFonts w:hint="eastAsia" w:ascii="宋体" w:hAnsi="宋体" w:eastAsia="宋体" w:cs="宋体"/>
                <w:b/>
                <w:bCs/>
                <w:color w:val="auto"/>
                <w:sz w:val="21"/>
                <w:szCs w:val="21"/>
              </w:rPr>
              <w:t>乙方（盖章）：</w:t>
            </w:r>
          </w:p>
        </w:tc>
      </w:tr>
      <w:tr w14:paraId="349A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39603938">
            <w:pPr>
              <w:spacing w:before="100" w:beforeAutospacing="1" w:after="100" w:afterAutospacing="1" w:line="56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lang w:val="en-US" w:eastAsia="zh-CN"/>
              </w:rPr>
              <w:t>黄凯</w:t>
            </w:r>
          </w:p>
        </w:tc>
        <w:tc>
          <w:tcPr>
            <w:tcW w:w="4261" w:type="dxa"/>
            <w:noWrap w:val="0"/>
            <w:vAlign w:val="center"/>
          </w:tcPr>
          <w:p w14:paraId="0CB53F55">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负责</w:t>
            </w:r>
            <w:r>
              <w:rPr>
                <w:rFonts w:hint="eastAsia" w:ascii="宋体" w:hAnsi="宋体" w:eastAsia="宋体" w:cs="宋体"/>
                <w:color w:val="auto"/>
                <w:sz w:val="21"/>
                <w:szCs w:val="21"/>
                <w:highlight w:val="none"/>
              </w:rPr>
              <w:t>人：</w:t>
            </w:r>
          </w:p>
        </w:tc>
      </w:tr>
      <w:tr w14:paraId="71EB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561" w:type="dxa"/>
            <w:noWrap w:val="0"/>
            <w:vAlign w:val="center"/>
          </w:tcPr>
          <w:p w14:paraId="2DA54326">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甲方代表签字：</w:t>
            </w:r>
          </w:p>
        </w:tc>
        <w:tc>
          <w:tcPr>
            <w:tcW w:w="4261" w:type="dxa"/>
            <w:noWrap w:val="0"/>
            <w:vAlign w:val="center"/>
          </w:tcPr>
          <w:p w14:paraId="36F0C4B0">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乙方代表签字：</w:t>
            </w:r>
          </w:p>
        </w:tc>
      </w:tr>
      <w:tr w14:paraId="2340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3290202A">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住所</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珠海市香洲区卫康路199号香洲创港中心17栋13层1302</w:t>
            </w:r>
            <w:r>
              <w:rPr>
                <w:rFonts w:hint="eastAsia" w:ascii="宋体" w:hAnsi="宋体" w:eastAsia="宋体" w:cs="宋体"/>
                <w:color w:val="auto"/>
                <w:sz w:val="21"/>
                <w:szCs w:val="21"/>
                <w:lang w:val="en-US" w:eastAsia="zh-CN"/>
              </w:rPr>
              <w:t>室</w:t>
            </w:r>
            <w:r>
              <w:rPr>
                <w:rFonts w:hint="eastAsia" w:ascii="宋体" w:hAnsi="宋体" w:eastAsia="宋体" w:cs="宋体"/>
                <w:color w:val="auto"/>
                <w:sz w:val="21"/>
                <w:szCs w:val="21"/>
              </w:rPr>
              <w:t>-2</w:t>
            </w:r>
          </w:p>
        </w:tc>
        <w:tc>
          <w:tcPr>
            <w:tcW w:w="4261" w:type="dxa"/>
            <w:noWrap w:val="0"/>
            <w:vAlign w:val="center"/>
          </w:tcPr>
          <w:p w14:paraId="5F7BE062">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w:t>
            </w:r>
          </w:p>
        </w:tc>
      </w:tr>
      <w:tr w14:paraId="20B7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766AE5DA">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c>
          <w:tcPr>
            <w:tcW w:w="4261" w:type="dxa"/>
            <w:noWrap w:val="0"/>
            <w:vAlign w:val="center"/>
          </w:tcPr>
          <w:p w14:paraId="1FDDE3A6">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14:paraId="1937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2458E2E4">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传真：</w:t>
            </w:r>
          </w:p>
        </w:tc>
        <w:tc>
          <w:tcPr>
            <w:tcW w:w="4261" w:type="dxa"/>
            <w:noWrap w:val="0"/>
            <w:vAlign w:val="center"/>
          </w:tcPr>
          <w:p w14:paraId="2912DAC6">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p>
        </w:tc>
      </w:tr>
      <w:tr w14:paraId="2A39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26530C02">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纳税人识别码：91440400MA52307L0E</w:t>
            </w:r>
          </w:p>
        </w:tc>
        <w:tc>
          <w:tcPr>
            <w:tcW w:w="4261" w:type="dxa"/>
            <w:noWrap w:val="0"/>
            <w:vAlign w:val="center"/>
          </w:tcPr>
          <w:p w14:paraId="3C51FD5D">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纳税人识别码：</w:t>
            </w:r>
          </w:p>
        </w:tc>
      </w:tr>
      <w:tr w14:paraId="6A8D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79F609D7">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开户行：</w:t>
            </w:r>
            <w:r>
              <w:rPr>
                <w:rFonts w:hint="eastAsia" w:ascii="宋体" w:hAnsi="宋体" w:eastAsia="宋体" w:cs="宋体"/>
                <w:color w:val="000000"/>
                <w:sz w:val="21"/>
                <w:szCs w:val="21"/>
                <w:highlight w:val="none"/>
                <w:lang w:val="zh-TW" w:eastAsia="zh-TW"/>
              </w:rPr>
              <w:t>中国工商银行珠海御景支行</w:t>
            </w:r>
            <w:r>
              <w:rPr>
                <w:rFonts w:hint="eastAsia" w:ascii="宋体" w:hAnsi="宋体" w:eastAsia="宋体" w:cs="宋体"/>
                <w:bCs/>
                <w:color w:val="000000"/>
                <w:spacing w:val="0"/>
                <w:sz w:val="21"/>
                <w:szCs w:val="21"/>
                <w:highlight w:val="none"/>
                <w:lang w:val="en-US" w:eastAsia="zh-CN"/>
              </w:rPr>
              <w:t xml:space="preserve">   </w:t>
            </w:r>
          </w:p>
        </w:tc>
        <w:tc>
          <w:tcPr>
            <w:tcW w:w="4261" w:type="dxa"/>
            <w:noWrap w:val="0"/>
            <w:vAlign w:val="center"/>
          </w:tcPr>
          <w:p w14:paraId="283BA5AC">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开户行：</w:t>
            </w:r>
          </w:p>
        </w:tc>
      </w:tr>
      <w:tr w14:paraId="505E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1FD195DF">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账号：</w:t>
            </w:r>
            <w:r>
              <w:rPr>
                <w:rFonts w:hint="eastAsia" w:ascii="宋体" w:hAnsi="宋体" w:eastAsia="宋体" w:cs="宋体"/>
                <w:color w:val="000000"/>
                <w:sz w:val="21"/>
                <w:szCs w:val="21"/>
                <w:highlight w:val="none"/>
                <w:lang w:val="zh-TW" w:eastAsia="zh-TW"/>
              </w:rPr>
              <w:t>2002 0248 0910 0269 371</w:t>
            </w:r>
          </w:p>
        </w:tc>
        <w:tc>
          <w:tcPr>
            <w:tcW w:w="4261" w:type="dxa"/>
            <w:noWrap w:val="0"/>
            <w:vAlign w:val="center"/>
          </w:tcPr>
          <w:p w14:paraId="056D3921">
            <w:pPr>
              <w:spacing w:before="100" w:beforeAutospacing="1" w:after="100" w:afterAutospacing="1"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14:paraId="54CC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61" w:type="dxa"/>
            <w:noWrap w:val="0"/>
            <w:vAlign w:val="center"/>
          </w:tcPr>
          <w:p w14:paraId="70F481DF">
            <w:pPr>
              <w:spacing w:before="100" w:beforeAutospacing="1" w:after="100" w:afterAutospacing="1" w:line="560" w:lineRule="exact"/>
              <w:rPr>
                <w:rFonts w:hint="eastAsia" w:ascii="宋体" w:hAnsi="宋体" w:eastAsia="宋体" w:cs="宋体"/>
                <w:color w:val="auto"/>
                <w:sz w:val="21"/>
                <w:szCs w:val="21"/>
              </w:rPr>
            </w:pPr>
            <w:r>
              <w:rPr>
                <w:rFonts w:hint="eastAsia" w:ascii="宋体" w:hAnsi="宋体" w:eastAsia="宋体" w:cs="宋体"/>
                <w:color w:val="auto"/>
                <w:sz w:val="21"/>
                <w:szCs w:val="21"/>
              </w:rPr>
              <w:t>邮政编码：519000</w:t>
            </w:r>
          </w:p>
        </w:tc>
        <w:tc>
          <w:tcPr>
            <w:tcW w:w="4261" w:type="dxa"/>
            <w:noWrap w:val="0"/>
            <w:vAlign w:val="center"/>
          </w:tcPr>
          <w:p w14:paraId="36F68B8D">
            <w:pPr>
              <w:spacing w:before="100" w:beforeAutospacing="1" w:after="100" w:afterAutospacing="1" w:line="5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邮政编码：</w:t>
            </w:r>
          </w:p>
        </w:tc>
      </w:tr>
    </w:tbl>
    <w:p w14:paraId="15AD979B">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42C6400A">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2" w:firstLineChars="200"/>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附件1：任务书</w:t>
      </w:r>
    </w:p>
    <w:p w14:paraId="2CA65D1C">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1AA961C1">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2" w:firstLineChars="200"/>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附件2：报价单</w:t>
      </w:r>
    </w:p>
    <w:p w14:paraId="7400C39D">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422D0FF0">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2" w:firstLineChars="200"/>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附件3: 廉政建设管理公约</w:t>
      </w:r>
    </w:p>
    <w:p w14:paraId="6644B3E1">
      <w:pPr>
        <w:autoSpaceDE w:val="0"/>
        <w:autoSpaceDN w:val="0"/>
        <w:spacing w:line="380" w:lineRule="exact"/>
        <w:ind w:left="-420" w:firstLine="840" w:firstLineChars="400"/>
        <w:jc w:val="left"/>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廉政建设管理公约</w:t>
      </w:r>
    </w:p>
    <w:p w14:paraId="2AF9EDE3">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第一条 为推进相对方与</w:t>
      </w:r>
      <w:r>
        <w:rPr>
          <w:rFonts w:hint="eastAsia" w:ascii="宋体" w:hAnsi="宋体" w:eastAsia="宋体" w:cs="宋体"/>
          <w:color w:val="auto"/>
          <w:sz w:val="21"/>
          <w:szCs w:val="21"/>
        </w:rPr>
        <w:fldChar w:fldCharType="begin">
          <w:ffData>
            <w:name w:val="Text2"/>
            <w:enabled/>
            <w:calcOnExit w:val="0"/>
            <w:textInput>
              <w:default w:val="珠海正方集团有限公司及其各下属公司"/>
            </w:textInput>
          </w:ffData>
        </w:fldChar>
      </w:r>
      <w:r>
        <w:rPr>
          <w:rFonts w:hint="eastAsia" w:ascii="宋体" w:hAnsi="宋体" w:eastAsia="宋体" w:cs="宋体"/>
          <w:color w:val="auto"/>
          <w:sz w:val="21"/>
          <w:szCs w:val="21"/>
        </w:rPr>
        <w:instrText xml:space="preserve">FORMTEXT</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珠海正方集团有限公司及其各下属公司</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（以下简称“我方”）相关业务合作过程中的廉政建设，预防各种腐败行为的发生，现就相对方在业务廉政建设中的各项权利、义务及违反本公约应承担的责任等事项依法作出如下约定。</w:t>
      </w:r>
    </w:p>
    <w:p w14:paraId="569F9D1F">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第二条 本公约不因相关合同期限届满而终止，我方发现相对方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含相对方工作人员，下同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存在违约行为即可随时行使本公约约定之权利。</w:t>
      </w:r>
    </w:p>
    <w:p w14:paraId="10886391">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第三条 相对方不得有以下行为</w:t>
      </w:r>
    </w:p>
    <w:p w14:paraId="68332533">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3.1 相对方不得利用向我方、我方工作人员（含子女及其他家属，下同）赠送礼品礼金（包括但不限于各种名义的回扣、手续费、现金、消费卡和有价证券、股权、其他金融产品等财物）、支付应由其个人自付的各种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包括但不限于住房装修、婚丧嫁娶、购物、学费、子女的工作安排以及出国留学等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、提供业务提成或股份、免费提供劳务或者给予其他好处，不正当地谋取利益；</w:t>
      </w:r>
    </w:p>
    <w:p w14:paraId="679CC9B9">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包括但不限于住房装修、婚丧嫁娶、购物、学费、子女的工作安排以及出国留学等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、提供业务提成或股份、免费提供劳务或者给予其他好处，获取违反合同或者合同之外的不正当利益；</w:t>
      </w:r>
    </w:p>
    <w:p w14:paraId="69D9F48D">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3.3 相对方工作人员不得为谋取私利擅自与我方工作人员就合作项目各阶段中未对相对方公开的事项进行私下商谈或者达成默契；</w:t>
      </w:r>
    </w:p>
    <w:p w14:paraId="106CEA75">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3.4 相对方不得因洽谈业务、签订合同等原因，邀请我方工作人员参加宴请、高消费娱乐、健身活动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包括但不限于营业性的歌厅、舞厅、卡拉OK厅、夜总会、桑拿、按摩和高尔夫球等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p>
    <w:p w14:paraId="40825524">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 xml:space="preserve"> 相对方不得为我方单位和个人购置或者提供通讯工具、交通工具、家电及高档办公用品等物品；</w:t>
      </w:r>
    </w:p>
    <w:p w14:paraId="78CEBFD0">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3.6 相对方应通过正常途径开展相关业务工作，不得为谋取私利擅自与我方工作人员及中介机构就有关工作问题进行私下商谈或者达成默契；</w:t>
      </w:r>
    </w:p>
    <w:p w14:paraId="449AD68F">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3.7 相对方不得有其他妨碍正常交易的违法行为</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有违国家法律法规或廉政建设要求的行为。</w:t>
      </w:r>
    </w:p>
    <w:p w14:paraId="44192209">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第四条 相对方发现以下行为，应立即举报至我方纪检监察部门，并积极配合我方进行调查。</w:t>
      </w:r>
    </w:p>
    <w:p w14:paraId="01C04D2B">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包括但不限于住房装修、婚丧嫁娶、购物、学费、子女的工作安排以及出国留学等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、要求提供业务提成或股份、要求免费提供劳务或者其他好处；</w:t>
      </w:r>
    </w:p>
    <w:p w14:paraId="003FFEEB">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4.2 我方工作人员在与相对方</w:t>
      </w:r>
      <w:r>
        <w:rPr>
          <w:rFonts w:hint="eastAsia" w:ascii="宋体" w:hAnsi="宋体" w:eastAsia="宋体" w:cs="宋体"/>
          <w:color w:val="auto"/>
          <w:sz w:val="21"/>
          <w:szCs w:val="21"/>
          <w:lang w:eastAsia="zh-CN"/>
        </w:rPr>
        <w:t>开展相关业务</w:t>
      </w:r>
      <w:r>
        <w:rPr>
          <w:rFonts w:hint="eastAsia" w:ascii="宋体" w:hAnsi="宋体" w:eastAsia="宋体" w:cs="宋体"/>
          <w:color w:val="auto"/>
          <w:sz w:val="21"/>
          <w:szCs w:val="21"/>
        </w:rPr>
        <w:t>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包括但不限于住房装修、婚丧嫁娶、购物、学费、子女的工作安排以及出国留学等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、要求提供业务提成或股份、要求免费提供劳务或者其他好处；</w:t>
      </w:r>
    </w:p>
    <w:p w14:paraId="70C19C3A">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4.3 我方工作人员擅自与相对方工作人员就招投标或合同各阶段中未对相对方公开的事项进行私下商谈或者达成默契；</w:t>
      </w:r>
    </w:p>
    <w:p w14:paraId="3BA90417">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4.4 我方工作人员以洽谈业务、签订合同等为借口，要求相对方安排宴请、高消费娱乐、健身活动</w:t>
      </w:r>
      <w:r>
        <w:rPr>
          <w:rFonts w:hint="eastAsia" w:ascii="宋体" w:hAnsi="宋体" w:eastAsia="宋体" w:cs="宋体"/>
          <w:color w:val="auto"/>
          <w:sz w:val="21"/>
          <w:szCs w:val="21"/>
          <w:lang w:eastAsia="zh-CN"/>
        </w:rPr>
        <w:t>（包括但不限于营业性的歌厅、舞厅、卡拉OK厅、夜总会、桑拿、按摩和高尔夫球等）</w:t>
      </w:r>
      <w:r>
        <w:rPr>
          <w:rFonts w:hint="eastAsia" w:ascii="宋体" w:hAnsi="宋体" w:eastAsia="宋体" w:cs="宋体"/>
          <w:color w:val="auto"/>
          <w:sz w:val="21"/>
          <w:szCs w:val="21"/>
        </w:rPr>
        <w:t>；</w:t>
      </w:r>
    </w:p>
    <w:p w14:paraId="69656B7F">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4.5 我方工作人员向相对方索要通讯工具、交通工具、家电及高档办公用品等物品</w:t>
      </w:r>
      <w:r>
        <w:rPr>
          <w:rFonts w:hint="eastAsia" w:ascii="宋体" w:hAnsi="宋体" w:eastAsia="宋体" w:cs="宋体"/>
          <w:color w:val="auto"/>
          <w:sz w:val="21"/>
          <w:szCs w:val="21"/>
          <w:lang w:eastAsia="zh-CN"/>
        </w:rPr>
        <w:t>，并</w:t>
      </w:r>
      <w:r>
        <w:rPr>
          <w:rFonts w:hint="eastAsia" w:ascii="宋体" w:hAnsi="宋体" w:eastAsia="宋体" w:cs="宋体"/>
          <w:color w:val="auto"/>
          <w:sz w:val="21"/>
          <w:szCs w:val="21"/>
        </w:rPr>
        <w:t>向相对方报销任何应由单位或个人支付的费用；</w:t>
      </w:r>
    </w:p>
    <w:p w14:paraId="5DADF91E">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4.6 我方工作人员向相对方介绍家属或亲友从事与我方业务有关的物资供应等经济活动；</w:t>
      </w:r>
    </w:p>
    <w:p w14:paraId="74897FAB">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4.7 我方工作人员</w:t>
      </w:r>
      <w:r>
        <w:rPr>
          <w:rFonts w:hint="eastAsia" w:ascii="宋体" w:hAnsi="宋体" w:eastAsia="宋体" w:cs="宋体"/>
          <w:color w:val="auto"/>
          <w:sz w:val="21"/>
          <w:szCs w:val="21"/>
          <w:lang w:eastAsia="zh-CN"/>
        </w:rPr>
        <w:t>有其他</w:t>
      </w:r>
      <w:r>
        <w:rPr>
          <w:rFonts w:hint="eastAsia" w:ascii="宋体" w:hAnsi="宋体" w:eastAsia="宋体" w:cs="宋体"/>
          <w:color w:val="auto"/>
          <w:sz w:val="21"/>
          <w:szCs w:val="21"/>
        </w:rPr>
        <w:t>妨碍正常交易的违法行为，</w:t>
      </w:r>
      <w:r>
        <w:rPr>
          <w:rFonts w:hint="eastAsia" w:ascii="宋体" w:hAnsi="宋体" w:eastAsia="宋体" w:cs="宋体"/>
          <w:color w:val="auto"/>
          <w:sz w:val="21"/>
          <w:szCs w:val="21"/>
          <w:lang w:eastAsia="zh-CN"/>
        </w:rPr>
        <w:t>以及其他</w:t>
      </w:r>
      <w:r>
        <w:rPr>
          <w:rFonts w:hint="eastAsia" w:ascii="宋体" w:hAnsi="宋体" w:eastAsia="宋体" w:cs="宋体"/>
          <w:color w:val="auto"/>
          <w:sz w:val="21"/>
          <w:szCs w:val="21"/>
        </w:rPr>
        <w:t>有违国家法律法规或有违廉政建设要求的行为。</w:t>
      </w:r>
    </w:p>
    <w:p w14:paraId="3E9FCDC6">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第五条 相对方连续</w:t>
      </w:r>
      <w:r>
        <w:rPr>
          <w:rFonts w:hint="eastAsia" w:ascii="宋体" w:hAnsi="宋体" w:eastAsia="宋体" w:cs="宋体"/>
          <w:color w:val="auto"/>
          <w:sz w:val="21"/>
          <w:szCs w:val="21"/>
        </w:rPr>
        <w:fldChar w:fldCharType="begin">
          <w:ffData>
            <w:name w:val="Text8"/>
            <w:enabled/>
            <w:calcOnExit w:val="0"/>
            <w:textInput>
              <w:default w:val="三年"/>
            </w:textInput>
          </w:ffData>
        </w:fldChar>
      </w:r>
      <w:r>
        <w:rPr>
          <w:rFonts w:hint="eastAsia" w:ascii="宋体" w:hAnsi="宋体" w:eastAsia="宋体" w:cs="宋体"/>
          <w:color w:val="auto"/>
          <w:sz w:val="21"/>
          <w:szCs w:val="21"/>
        </w:rPr>
        <w:instrText xml:space="preserve">FORMTEXT</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三年</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未出现违反本公约规定的廉政义务之行为时，可以此为由，向我方采购部门申请调升相对方评级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以获取较优惠的合作条件，最终是否提升评级将在综合考虑相对方历史履约情况后作出决定。</w:t>
      </w:r>
    </w:p>
    <w:p w14:paraId="77C679CA">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第六条 相对方向我方纪检监察部门举报（举报电话：0756-3368593</w:t>
      </w:r>
      <w:r>
        <w:rPr>
          <w:rFonts w:hint="eastAsia" w:ascii="宋体" w:hAnsi="宋体" w:eastAsia="宋体" w:cs="宋体"/>
          <w:color w:val="auto"/>
          <w:sz w:val="21"/>
          <w:szCs w:val="21"/>
          <w:lang w:eastAsia="zh-CN"/>
        </w:rPr>
        <w:t>，举报</w:t>
      </w:r>
      <w:r>
        <w:rPr>
          <w:rFonts w:hint="eastAsia" w:ascii="宋体" w:hAnsi="宋体" w:eastAsia="宋体" w:cs="宋体"/>
          <w:color w:val="auto"/>
          <w:sz w:val="21"/>
          <w:szCs w:val="21"/>
        </w:rPr>
        <w:t>邮箱：jjjcs@zhzfkg.com）我方工作人员或者评标委员会成员违反廉政义务，并能提供合法有效证据的，经查证属实，可以此为由，向我方采购部门申请调升相对方评级，以获取较优惠的合作条件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最终是否提升评级将在综合考虑相对方历史履约情况后作出决定。</w:t>
      </w:r>
    </w:p>
    <w:p w14:paraId="4F1EDE30">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第七条 相对方违反廉政义务应承担的责任</w:t>
      </w:r>
    </w:p>
    <w:p w14:paraId="6351829D">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14:paraId="6CB3410A">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7.2 相对方在合同</w:t>
      </w:r>
      <w:r>
        <w:rPr>
          <w:rFonts w:hint="eastAsia" w:ascii="宋体" w:hAnsi="宋体" w:eastAsia="宋体" w:cs="宋体"/>
          <w:color w:val="auto"/>
          <w:sz w:val="21"/>
          <w:szCs w:val="21"/>
          <w:lang w:eastAsia="zh-CN"/>
        </w:rPr>
        <w:t>期间</w:t>
      </w:r>
      <w:r>
        <w:rPr>
          <w:rFonts w:hint="eastAsia" w:ascii="宋体" w:hAnsi="宋体" w:eastAsia="宋体" w:cs="宋体"/>
          <w:color w:val="auto"/>
          <w:sz w:val="21"/>
          <w:szCs w:val="21"/>
        </w:rPr>
        <w:t>被发现违反廉政义务的，我方将视其合同履行情况，采取责令停工整顿、发回重做、限期整改或解除合同的处理方式，但无论采取何种处理方式，相对方均应赔偿我方因此遭受的一切损失。</w:t>
      </w:r>
    </w:p>
    <w:p w14:paraId="69C59BA5">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7.3 相对方工作人员为谋取私利违反廉政义务的，相对方应对违规人员采取解聘、调离等措施，以维护我方的利益。</w:t>
      </w:r>
    </w:p>
    <w:p w14:paraId="6B14F304">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7.4 相对方出现本公约第三条规定的情形时，我方将视情节严重程度调低相对方的评级。</w:t>
      </w:r>
    </w:p>
    <w:p w14:paraId="1A8CF5BC">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7.5 相对方违反廉政义务情节严重，构成犯罪的，将依法移交司法机关处理。　　</w:t>
      </w:r>
    </w:p>
    <w:p w14:paraId="4F1477BD">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第八条 本管理公约与合同相同份数，并作为合同附件，与合同具有同等法律效力。</w:t>
      </w:r>
    </w:p>
    <w:p w14:paraId="545D8DDD">
      <w:pPr>
        <w:pStyle w:val="2"/>
        <w:rPr>
          <w:rFonts w:hint="eastAsia" w:ascii="宋体" w:hAnsi="宋体" w:cs="宋体"/>
          <w:color w:val="auto"/>
          <w:sz w:val="24"/>
          <w:szCs w:val="28"/>
        </w:rPr>
      </w:pPr>
    </w:p>
    <w:p w14:paraId="3E2B4FA3">
      <w:pPr>
        <w:pStyle w:val="2"/>
        <w:rPr>
          <w:rFonts w:hint="eastAsia" w:ascii="宋体" w:hAnsi="宋体" w:cs="宋体"/>
          <w:color w:val="auto"/>
          <w:sz w:val="24"/>
          <w:szCs w:val="28"/>
        </w:rPr>
      </w:pPr>
    </w:p>
    <w:p w14:paraId="5EE8ED10">
      <w:pPr>
        <w:pStyle w:val="2"/>
        <w:rPr>
          <w:rFonts w:hint="eastAsia" w:ascii="宋体" w:hAnsi="宋体" w:cs="宋体"/>
          <w:color w:val="auto"/>
          <w:sz w:val="24"/>
          <w:szCs w:val="28"/>
        </w:rPr>
      </w:pPr>
    </w:p>
    <w:p w14:paraId="1290DEF1">
      <w:pPr>
        <w:autoSpaceDE w:val="0"/>
        <w:autoSpaceDN w:val="0"/>
        <w:spacing w:before="0" w:beforeLines="0" w:line="380" w:lineRule="exact"/>
        <w:ind w:left="-420" w:firstLine="1280" w:firstLineChars="400"/>
        <w:jc w:val="center"/>
        <w:rPr>
          <w:rFonts w:hint="eastAsia" w:ascii="宋体" w:hAnsi="宋体" w:eastAsia="宋体" w:cs="宋体"/>
          <w:color w:val="auto"/>
          <w:sz w:val="21"/>
          <w:szCs w:val="21"/>
          <w:lang w:val="en-US" w:eastAsia="zh-CN"/>
        </w:rPr>
      </w:pPr>
      <w:r>
        <w:rPr>
          <w:rFonts w:hint="eastAsia" w:ascii="宋体" w:hAnsi="宋体" w:cs="宋体"/>
          <w:color w:val="auto"/>
          <w:sz w:val="32"/>
          <w:szCs w:val="32"/>
          <w:lang w:val="en-US" w:eastAsia="zh-CN"/>
        </w:rPr>
        <w:br w:type="page"/>
      </w:r>
      <w:r>
        <w:rPr>
          <w:rFonts w:hint="eastAsia" w:ascii="宋体" w:hAnsi="宋体" w:eastAsia="宋体" w:cs="宋体"/>
          <w:color w:val="auto"/>
          <w:sz w:val="21"/>
          <w:szCs w:val="21"/>
          <w:lang w:val="en-US" w:eastAsia="zh-CN"/>
        </w:rPr>
        <w:t>承  诺  书</w:t>
      </w:r>
    </w:p>
    <w:p w14:paraId="4CB23027">
      <w:pPr>
        <w:autoSpaceDE w:val="0"/>
        <w:autoSpaceDN w:val="0"/>
        <w:spacing w:line="380" w:lineRule="exact"/>
        <w:ind w:left="-420" w:firstLine="840" w:firstLineChars="400"/>
        <w:rPr>
          <w:rFonts w:hint="eastAsia" w:ascii="宋体" w:hAnsi="宋体" w:eastAsia="宋体" w:cs="宋体"/>
          <w:color w:val="auto"/>
          <w:sz w:val="21"/>
          <w:szCs w:val="21"/>
        </w:rPr>
      </w:pPr>
    </w:p>
    <w:p w14:paraId="7BE9F75B">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本公司承接</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u w:val="single"/>
          <w:lang w:val="en-US" w:eastAsia="zh-CN"/>
        </w:rPr>
        <w:t>珠海正方产业开发运营有限公司无人机飞控平台和业务后台开发（含硬件）</w:t>
      </w:r>
      <w:r>
        <w:rPr>
          <w:rFonts w:hint="eastAsia" w:ascii="宋体" w:hAnsi="宋体" w:eastAsia="宋体" w:cs="宋体"/>
          <w:color w:val="auto"/>
          <w:sz w:val="21"/>
          <w:szCs w:val="21"/>
          <w:u w:val="none"/>
          <w:lang w:val="en-US" w:eastAsia="zh-CN"/>
        </w:rPr>
        <w:t xml:space="preserve"> </w:t>
      </w:r>
      <w:r>
        <w:rPr>
          <w:rFonts w:hint="eastAsia" w:ascii="宋体" w:hAnsi="宋体" w:eastAsia="宋体" w:cs="宋体"/>
          <w:color w:val="auto"/>
          <w:sz w:val="21"/>
          <w:szCs w:val="21"/>
        </w:rPr>
        <w:t>业务，为推进项目过程中的廉政建设，本公司声明如下：</w:t>
      </w:r>
    </w:p>
    <w:p w14:paraId="73CE01EE">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一、确认已详细阅读《廉政建设管理公约》（以下简称“本管理公约”）；</w:t>
      </w:r>
    </w:p>
    <w:p w14:paraId="2F2C9B34">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二、同意遵守并倡导其他</w:t>
      </w:r>
      <w:r>
        <w:rPr>
          <w:rFonts w:hint="eastAsia" w:ascii="宋体" w:hAnsi="宋体" w:eastAsia="宋体" w:cs="宋体"/>
          <w:color w:val="auto"/>
          <w:sz w:val="21"/>
          <w:szCs w:val="21"/>
          <w:lang w:eastAsia="zh-CN"/>
        </w:rPr>
        <w:t>相对方</w:t>
      </w:r>
      <w:r>
        <w:rPr>
          <w:rFonts w:hint="eastAsia" w:ascii="宋体" w:hAnsi="宋体" w:eastAsia="宋体" w:cs="宋体"/>
          <w:color w:val="auto"/>
          <w:sz w:val="21"/>
          <w:szCs w:val="21"/>
        </w:rPr>
        <w:t>遵守本管理公约；</w:t>
      </w:r>
    </w:p>
    <w:p w14:paraId="3DC9522A">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三、本公司同意承担违反本管理公约的相应责任。</w:t>
      </w:r>
    </w:p>
    <w:p w14:paraId="5F9987E5">
      <w:pPr>
        <w:autoSpaceDE w:val="0"/>
        <w:autoSpaceDN w:val="0"/>
        <w:spacing w:line="380" w:lineRule="exact"/>
        <w:ind w:left="-420" w:firstLine="840" w:firstLineChars="400"/>
        <w:rPr>
          <w:rFonts w:hint="eastAsia" w:ascii="宋体" w:hAnsi="宋体" w:eastAsia="宋体" w:cs="宋体"/>
          <w:color w:val="auto"/>
          <w:sz w:val="21"/>
          <w:szCs w:val="21"/>
        </w:rPr>
      </w:pPr>
    </w:p>
    <w:p w14:paraId="27AAF87F">
      <w:pPr>
        <w:autoSpaceDE w:val="0"/>
        <w:autoSpaceDN w:val="0"/>
        <w:spacing w:line="380" w:lineRule="exact"/>
        <w:ind w:left="-420" w:firstLine="840" w:firstLineChars="400"/>
        <w:rPr>
          <w:rFonts w:hint="eastAsia" w:ascii="宋体" w:hAnsi="宋体" w:eastAsia="宋体" w:cs="宋体"/>
          <w:color w:val="auto"/>
          <w:sz w:val="21"/>
          <w:szCs w:val="21"/>
        </w:rPr>
      </w:pPr>
    </w:p>
    <w:p w14:paraId="6DCE4743">
      <w:pPr>
        <w:autoSpaceDE w:val="0"/>
        <w:autoSpaceDN w:val="0"/>
        <w:spacing w:line="380" w:lineRule="exact"/>
        <w:ind w:left="-420" w:firstLine="840" w:firstLineChars="400"/>
        <w:rPr>
          <w:rFonts w:hint="eastAsia" w:ascii="宋体" w:hAnsi="宋体" w:eastAsia="宋体" w:cs="宋体"/>
          <w:color w:val="auto"/>
          <w:sz w:val="21"/>
          <w:szCs w:val="21"/>
        </w:rPr>
      </w:pPr>
    </w:p>
    <w:p w14:paraId="507F82AF">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承诺人（盖章）：      </w:t>
      </w:r>
    </w:p>
    <w:p w14:paraId="5A26BA8A">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14:paraId="59E43539">
      <w:pPr>
        <w:autoSpaceDE w:val="0"/>
        <w:autoSpaceDN w:val="0"/>
        <w:spacing w:line="380" w:lineRule="exact"/>
        <w:ind w:left="-420" w:firstLine="3780" w:firstLineChars="1800"/>
        <w:rPr>
          <w:rFonts w:hint="eastAsia" w:ascii="宋体" w:hAnsi="宋体" w:eastAsia="宋体" w:cs="宋体"/>
          <w:color w:val="auto"/>
          <w:sz w:val="21"/>
          <w:szCs w:val="21"/>
        </w:rPr>
      </w:pPr>
      <w:r>
        <w:rPr>
          <w:rFonts w:hint="eastAsia" w:ascii="宋体" w:hAnsi="宋体" w:eastAsia="宋体" w:cs="宋体"/>
          <w:color w:val="auto"/>
          <w:sz w:val="21"/>
          <w:szCs w:val="21"/>
        </w:rPr>
        <w:t>法定代表人或其委托代表人（签章）：</w:t>
      </w:r>
      <w:r>
        <w:rPr>
          <w:rFonts w:hint="eastAsia" w:ascii="宋体" w:hAnsi="宋体" w:eastAsia="宋体" w:cs="宋体"/>
          <w:color w:val="auto"/>
          <w:sz w:val="21"/>
          <w:szCs w:val="21"/>
        </w:rPr>
        <w:fldChar w:fldCharType="begin">
          <w:ffData>
            <w:name w:val="Text4"/>
            <w:enabled/>
            <w:calcOnExit w:val="0"/>
            <w:textInput/>
          </w:ffData>
        </w:fldChar>
      </w:r>
      <w:r>
        <w:rPr>
          <w:rFonts w:hint="eastAsia" w:ascii="宋体" w:hAnsi="宋体" w:eastAsia="宋体" w:cs="宋体"/>
          <w:color w:val="auto"/>
          <w:sz w:val="21"/>
          <w:szCs w:val="21"/>
        </w:rPr>
        <w:instrText xml:space="preserve">FORMTEXT</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lang w:val="en-US"/>
        </w:rPr>
        <w:t>     </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 xml:space="preserve">    </w:t>
      </w:r>
    </w:p>
    <w:p w14:paraId="760B8D6D">
      <w:pPr>
        <w:autoSpaceDE w:val="0"/>
        <w:autoSpaceDN w:val="0"/>
        <w:spacing w:line="380" w:lineRule="exact"/>
        <w:ind w:left="-42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14:paraId="4A080575">
      <w:pPr>
        <w:jc w:val="right"/>
      </w:pPr>
      <w:r>
        <w:rPr>
          <w:rFonts w:hint="eastAsia" w:ascii="宋体" w:hAnsi="宋体" w:eastAsia="宋体" w:cs="宋体"/>
          <w:color w:val="auto"/>
          <w:sz w:val="21"/>
          <w:szCs w:val="21"/>
        </w:rPr>
        <w:t>日期：</w:t>
      </w:r>
      <w:r>
        <w:rPr>
          <w:rFonts w:hint="eastAsia" w:ascii="宋体" w:hAnsi="宋体" w:eastAsia="宋体" w:cs="宋体"/>
          <w:color w:val="auto"/>
          <w:sz w:val="21"/>
          <w:szCs w:val="21"/>
          <w:lang w:val="en-US" w:eastAsia="zh-CN"/>
        </w:rPr>
        <w:t>2026</w:t>
      </w:r>
      <w:r>
        <w:rPr>
          <w:rFonts w:hint="eastAsia" w:ascii="宋体" w:hAnsi="宋体" w:eastAsia="宋体" w:cs="宋体"/>
          <w:color w:val="auto"/>
          <w:sz w:val="21"/>
          <w:szCs w:val="21"/>
        </w:rPr>
        <w:t>年</w:t>
      </w:r>
      <w:r>
        <w:rPr>
          <w:rFonts w:hint="eastAsia" w:ascii="宋体" w:hAnsi="宋体" w:eastAsia="宋体" w:cs="宋体"/>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color w:val="auto"/>
          <w:sz w:val="21"/>
          <w:szCs w:val="21"/>
          <w:lang w:val="en-US" w:eastAsia="zh-CN"/>
        </w:rPr>
        <w:t>日</w:t>
      </w:r>
    </w:p>
    <w:p w14:paraId="5FC83FB5">
      <w:pPr>
        <w:widowControl/>
        <w:autoSpaceDE w:val="0"/>
        <w:autoSpaceDN w:val="0"/>
        <w:spacing w:line="380" w:lineRule="exact"/>
        <w:ind w:left="-420" w:firstLine="3780" w:firstLineChars="1800"/>
        <w:rPr>
          <w:rFonts w:hint="eastAsia" w:ascii="宋体" w:hAnsi="宋体" w:cs="宋体"/>
          <w:szCs w:val="21"/>
        </w:rPr>
      </w:pPr>
    </w:p>
    <w:p w14:paraId="66311BB6">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left="0" w:firstLine="480" w:firstLineChars="200"/>
        <w:jc w:val="left"/>
        <w:textAlignment w:val="auto"/>
        <w:rPr>
          <w:rFonts w:hint="default" w:ascii="宋体" w:hAnsi="宋体" w:eastAsia="宋体" w:cs="宋体"/>
          <w:sz w:val="24"/>
          <w:szCs w:val="24"/>
          <w:highlight w:val="none"/>
          <w:lang w:val="en-US" w:eastAsia="zh-CN"/>
        </w:rPr>
      </w:pPr>
    </w:p>
    <w:sectPr>
      <w:pgSz w:w="11905" w:h="1684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9AB48">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12CAD">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112CAD">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0542E"/>
    <w:rsid w:val="04B06439"/>
    <w:rsid w:val="0790350F"/>
    <w:rsid w:val="23834AD2"/>
    <w:rsid w:val="304271ED"/>
    <w:rsid w:val="32733B61"/>
    <w:rsid w:val="37377380"/>
    <w:rsid w:val="3BF61F51"/>
    <w:rsid w:val="44B71B00"/>
    <w:rsid w:val="465C448B"/>
    <w:rsid w:val="46B81B60"/>
    <w:rsid w:val="5E3D49CC"/>
    <w:rsid w:val="61007063"/>
    <w:rsid w:val="6AAE5967"/>
    <w:rsid w:val="77F05B81"/>
    <w:rsid w:val="7CCE08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heme="minorHAnsi" w:hAnsiTheme="minorHAnsi" w:eastAsiaTheme="minorEastAsia" w:cstheme="minorBidi"/>
      <w:sz w:val="21"/>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rFonts w:ascii="Calibri" w:hAnsi="Calibri" w:eastAsia="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7797</Words>
  <Characters>8187</Characters>
  <TotalTime>4</TotalTime>
  <ScaleCrop>false</ScaleCrop>
  <LinksUpToDate>false</LinksUpToDate>
  <CharactersWithSpaces>8515</CharactersWithSpaces>
  <Application>WPS Office_12.1.0.28599_F1E327BC-269C-435d-A152-05C5408002CA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2026-09-06T05:56:00Z</dcterms:created>
  <dc:creator>Apache POI</dc:creator>
  <cp:lastModifiedBy>Bingo chen</cp:lastModifiedBy>
  <dcterms:modified xsi:type="dcterms:W3CDTF">2026-09-18T11:08:03Z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{"Label":"1","ContentProducer":"001191110102MACQD9K64010000","ProduceID":"7682297145793416122","ReservedCode1":"","ContentPropagator":"","PropagateID":"","ReservedCode2":""}</vt:lpwstr>
  </property>
  <property fmtid="{D5CDD505-2E9C-101B-9397-08002B2CF9AE}" pid="3" name="KSOTemplateDocerSaveRecord">
    <vt:lpwstr>eyJoZGlkIjoiNzhiNzZhOTM0NzhkZTg0MjgzNWFhZWMwNzU4NDM1NzEiLCJ1c2VySWQiOiI1MDQyNjE1NTIifQ==</vt:lpwstr>
  </property>
  <property fmtid="{D5CDD505-2E9C-101B-9397-08002B2CF9AE}" pid="4" name="KSOProductBuildVer">
    <vt:lpwstr>2052-12.1.0.28599</vt:lpwstr>
  </property>
  <property fmtid="{D5CDD505-2E9C-101B-9397-08002B2CF9AE}" pid="5" name="ICV">
    <vt:lpwstr>A072A1BD3B574585851882F574A3F22A_13</vt:lpwstr>
  </property>
</Properties>
</file>