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bookmarkStart w:id="2" w:name="_GoBack"/>
      <w:bookmarkEnd w:id="2"/>
      <w:r>
        <w:rPr>
          <w:rFonts w:hint="eastAsia"/>
          <w:b/>
          <w:bCs/>
          <w:sz w:val="32"/>
          <w:szCs w:val="32"/>
        </w:rPr>
        <w:t xml:space="preserve"> </w:t>
      </w:r>
    </w:p>
    <w:p>
      <w:pPr>
        <w:jc w:val="center"/>
        <w:rPr>
          <w:rFonts w:hint="eastAsia"/>
          <w:b/>
          <w:bCs/>
          <w:sz w:val="32"/>
          <w:szCs w:val="32"/>
        </w:rPr>
      </w:pPr>
    </w:p>
    <w:p>
      <w:pPr>
        <w:spacing w:line="360" w:lineRule="auto"/>
        <w:jc w:val="center"/>
        <w:rPr>
          <w:rFonts w:hint="eastAsia" w:ascii="仿宋" w:hAnsi="仿宋" w:eastAsia="仿宋" w:cs="仿宋"/>
          <w:b/>
          <w:sz w:val="52"/>
          <w:szCs w:val="52"/>
          <w:lang w:val="en-US" w:eastAsia="zh-CN"/>
        </w:rPr>
      </w:pPr>
      <w:r>
        <w:rPr>
          <w:rFonts w:hint="eastAsia" w:ascii="仿宋" w:hAnsi="仿宋" w:eastAsia="仿宋" w:cs="仿宋"/>
          <w:b/>
          <w:sz w:val="52"/>
          <w:szCs w:val="52"/>
        </w:rPr>
        <w:t>香宁花园32栋</w:t>
      </w:r>
      <w:r>
        <w:rPr>
          <w:rFonts w:hint="eastAsia" w:ascii="仿宋" w:hAnsi="仿宋" w:eastAsia="仿宋" w:cs="仿宋"/>
          <w:b/>
          <w:sz w:val="52"/>
          <w:szCs w:val="52"/>
          <w:lang w:eastAsia="zh-CN"/>
        </w:rPr>
        <w:t>、</w:t>
      </w:r>
      <w:r>
        <w:rPr>
          <w:rFonts w:hint="eastAsia" w:ascii="仿宋" w:hAnsi="仿宋" w:eastAsia="仿宋" w:cs="仿宋"/>
          <w:b/>
          <w:sz w:val="52"/>
          <w:szCs w:val="52"/>
        </w:rPr>
        <w:t>33栋</w:t>
      </w:r>
      <w:r>
        <w:rPr>
          <w:rFonts w:hint="eastAsia" w:ascii="仿宋" w:hAnsi="仿宋" w:eastAsia="仿宋" w:cs="仿宋"/>
          <w:b/>
          <w:sz w:val="52"/>
          <w:szCs w:val="52"/>
          <w:lang w:eastAsia="zh-CN"/>
        </w:rPr>
        <w:t>、</w:t>
      </w:r>
      <w:r>
        <w:rPr>
          <w:rFonts w:hint="eastAsia" w:ascii="仿宋" w:hAnsi="仿宋" w:eastAsia="仿宋" w:cs="仿宋"/>
          <w:b/>
          <w:sz w:val="52"/>
          <w:szCs w:val="52"/>
        </w:rPr>
        <w:t>36栋</w:t>
      </w:r>
      <w:r>
        <w:rPr>
          <w:rFonts w:hint="eastAsia" w:ascii="仿宋" w:hAnsi="仿宋" w:eastAsia="仿宋" w:cs="仿宋"/>
          <w:b/>
          <w:sz w:val="52"/>
          <w:szCs w:val="52"/>
          <w:lang w:val="en-US" w:eastAsia="zh-CN"/>
        </w:rPr>
        <w:t>及</w:t>
      </w:r>
      <w:r>
        <w:rPr>
          <w:rFonts w:hint="eastAsia" w:ascii="仿宋" w:hAnsi="仿宋" w:eastAsia="仿宋" w:cs="仿宋"/>
          <w:b/>
          <w:sz w:val="52"/>
          <w:szCs w:val="52"/>
        </w:rPr>
        <w:t>华发十字门国际海岸花园肉菜市场</w:t>
      </w:r>
      <w:r>
        <w:rPr>
          <w:rFonts w:hint="eastAsia" w:ascii="仿宋" w:hAnsi="仿宋" w:eastAsia="仿宋" w:cs="仿宋"/>
          <w:b/>
          <w:sz w:val="52"/>
          <w:szCs w:val="52"/>
          <w:lang w:val="en-US" w:eastAsia="zh-CN"/>
        </w:rPr>
        <w:t>物业</w:t>
      </w:r>
    </w:p>
    <w:p>
      <w:pPr>
        <w:spacing w:line="360" w:lineRule="auto"/>
        <w:jc w:val="center"/>
        <w:rPr>
          <w:rFonts w:hint="eastAsia" w:ascii="仿宋" w:hAnsi="仿宋" w:eastAsia="仿宋" w:cs="仿宋"/>
          <w:b/>
          <w:sz w:val="52"/>
          <w:szCs w:val="52"/>
        </w:rPr>
      </w:pPr>
      <w:r>
        <w:rPr>
          <w:rFonts w:hint="eastAsia" w:ascii="仿宋" w:hAnsi="仿宋" w:eastAsia="仿宋" w:cs="仿宋"/>
          <w:b/>
          <w:sz w:val="52"/>
          <w:szCs w:val="52"/>
        </w:rPr>
        <w:t>价值评估服务采购任务书</w:t>
      </w:r>
    </w:p>
    <w:p>
      <w:pPr>
        <w:spacing w:line="360" w:lineRule="auto"/>
        <w:jc w:val="both"/>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rPr>
          <w:rFonts w:hint="eastAsia" w:ascii="仿宋" w:hAnsi="仿宋" w:eastAsia="仿宋" w:cs="仿宋"/>
          <w:sz w:val="28"/>
          <w:szCs w:val="28"/>
        </w:rPr>
      </w:pPr>
    </w:p>
    <w:p>
      <w:pPr>
        <w:spacing w:line="360" w:lineRule="auto"/>
        <w:jc w:val="center"/>
        <w:outlineLvl w:val="0"/>
        <w:rPr>
          <w:rFonts w:hint="eastAsia" w:ascii="仿宋" w:hAnsi="仿宋" w:eastAsia="仿宋" w:cs="仿宋"/>
          <w:b/>
          <w:bCs/>
          <w:sz w:val="30"/>
          <w:szCs w:val="30"/>
        </w:rPr>
      </w:pPr>
      <w:r>
        <w:rPr>
          <w:rFonts w:hint="eastAsia" w:ascii="仿宋" w:hAnsi="仿宋" w:eastAsia="仿宋" w:cs="仿宋"/>
          <w:b/>
          <w:bCs/>
          <w:sz w:val="30"/>
          <w:szCs w:val="30"/>
        </w:rPr>
        <w:t xml:space="preserve"> 编制单位：珠海正方</w:t>
      </w:r>
      <w:r>
        <w:rPr>
          <w:rFonts w:hint="eastAsia" w:ascii="仿宋" w:hAnsi="仿宋" w:eastAsia="仿宋" w:cs="仿宋"/>
          <w:b/>
          <w:bCs/>
          <w:sz w:val="30"/>
          <w:szCs w:val="30"/>
          <w:lang w:val="en-US" w:eastAsia="zh-CN"/>
        </w:rPr>
        <w:t>集团</w:t>
      </w:r>
      <w:r>
        <w:rPr>
          <w:rFonts w:hint="eastAsia" w:ascii="仿宋" w:hAnsi="仿宋" w:eastAsia="仿宋" w:cs="仿宋"/>
          <w:b/>
          <w:bCs/>
          <w:sz w:val="30"/>
          <w:szCs w:val="30"/>
        </w:rPr>
        <w:t>有限公司</w:t>
      </w:r>
    </w:p>
    <w:p>
      <w:pPr>
        <w:spacing w:line="360" w:lineRule="auto"/>
        <w:ind w:firstLine="2711" w:firstLineChars="900"/>
        <w:jc w:val="both"/>
        <w:outlineLvl w:val="0"/>
        <w:rPr>
          <w:rFonts w:hint="eastAsia" w:ascii="仿宋" w:hAnsi="仿宋" w:eastAsia="仿宋" w:cs="仿宋"/>
          <w:b/>
          <w:bCs/>
          <w:sz w:val="30"/>
          <w:szCs w:val="30"/>
        </w:rPr>
      </w:pPr>
      <w:r>
        <w:rPr>
          <w:rFonts w:hint="eastAsia" w:ascii="仿宋" w:hAnsi="仿宋" w:eastAsia="仿宋" w:cs="仿宋"/>
          <w:b/>
          <w:bCs/>
          <w:sz w:val="30"/>
          <w:szCs w:val="30"/>
        </w:rPr>
        <w:t>编制日期：202</w:t>
      </w:r>
      <w:r>
        <w:rPr>
          <w:rFonts w:hint="eastAsia" w:ascii="仿宋" w:hAnsi="仿宋" w:eastAsia="仿宋" w:cs="仿宋"/>
          <w:b/>
          <w:bCs/>
          <w:sz w:val="30"/>
          <w:szCs w:val="30"/>
          <w:lang w:val="en-US" w:eastAsia="zh-CN"/>
        </w:rPr>
        <w:t>6</w:t>
      </w:r>
      <w:r>
        <w:rPr>
          <w:rFonts w:hint="eastAsia" w:ascii="仿宋" w:hAnsi="仿宋" w:eastAsia="仿宋" w:cs="仿宋"/>
          <w:b/>
          <w:bCs/>
          <w:sz w:val="30"/>
          <w:szCs w:val="30"/>
        </w:rPr>
        <w:t>年</w:t>
      </w:r>
      <w:r>
        <w:rPr>
          <w:rFonts w:hint="eastAsia" w:ascii="仿宋" w:hAnsi="仿宋" w:eastAsia="仿宋" w:cs="仿宋"/>
          <w:b/>
          <w:bCs/>
          <w:sz w:val="30"/>
          <w:szCs w:val="30"/>
          <w:lang w:val="en-US" w:eastAsia="zh-CN"/>
        </w:rPr>
        <w:t>9</w:t>
      </w:r>
      <w:r>
        <w:rPr>
          <w:rFonts w:hint="eastAsia" w:ascii="仿宋" w:hAnsi="仿宋" w:eastAsia="仿宋" w:cs="仿宋"/>
          <w:b/>
          <w:bCs/>
          <w:sz w:val="30"/>
          <w:szCs w:val="30"/>
        </w:rPr>
        <w:t>月</w:t>
      </w:r>
    </w:p>
    <w:p>
      <w:pPr>
        <w:spacing w:line="360" w:lineRule="auto"/>
        <w:jc w:val="center"/>
        <w:rPr>
          <w:rFonts w:hint="eastAsia" w:ascii="仿宋" w:hAnsi="仿宋" w:eastAsia="仿宋" w:cs="仿宋"/>
          <w:sz w:val="28"/>
          <w:szCs w:val="28"/>
        </w:rPr>
        <w:sectPr>
          <w:pgSz w:w="11906" w:h="16838"/>
          <w:pgMar w:top="1440" w:right="1800" w:bottom="1440" w:left="1800" w:header="851" w:footer="992" w:gutter="0"/>
          <w:cols w:space="720" w:num="1"/>
          <w:docGrid w:type="lines" w:linePitch="312" w:charSpace="0"/>
        </w:sectPr>
      </w:pPr>
    </w:p>
    <w:p>
      <w:pPr>
        <w:numPr>
          <w:ilvl w:val="0"/>
          <w:numId w:val="0"/>
        </w:numPr>
        <w:spacing w:line="480" w:lineRule="auto"/>
        <w:ind w:firstLine="481" w:firstLineChars="0"/>
        <w:rPr>
          <w:rFonts w:hint="eastAsia" w:ascii="仿宋" w:hAnsi="仿宋" w:eastAsia="仿宋" w:cs="仿宋"/>
          <w:b/>
          <w:bCs/>
          <w:sz w:val="24"/>
          <w:szCs w:val="24"/>
        </w:rPr>
      </w:pPr>
      <w:bookmarkStart w:id="0" w:name="_Toc21462"/>
      <w:bookmarkEnd w:id="0"/>
      <w:r>
        <w:rPr>
          <w:rFonts w:hint="eastAsia" w:ascii="仿宋" w:hAnsi="仿宋" w:eastAsia="仿宋" w:cs="仿宋"/>
          <w:b/>
          <w:bCs/>
          <w:sz w:val="24"/>
          <w:szCs w:val="24"/>
        </w:rPr>
        <w:t>项目概况</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项目一：</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（1）项目名称：香宁花园32栋、33栋、36栋</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（2）项目地点：珠海市香洲区翠香街道香宁二街</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（3）招标人：珠海正方集团有限公司</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（4）产权所属人：珠海市香洲区机关事务管理局</w:t>
      </w:r>
    </w:p>
    <w:p>
      <w:pPr>
        <w:numPr>
          <w:ilvl w:val="0"/>
          <w:numId w:val="0"/>
        </w:numPr>
        <w:spacing w:line="480" w:lineRule="auto"/>
        <w:ind w:firstLine="48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（5）物业清单：香宁花园32栋、33栋、36栋共83套物业，建筑面积为</w:t>
      </w:r>
    </w:p>
    <w:p>
      <w:pPr>
        <w:numPr>
          <w:ilvl w:val="0"/>
          <w:numId w:val="0"/>
        </w:numPr>
        <w:spacing w:line="480" w:lineRule="auto"/>
        <w:ind w:firstLine="481"/>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lang w:val="en-US" w:eastAsia="zh-CN"/>
        </w:rPr>
        <w:t>4759.22m²。</w:t>
      </w:r>
    </w:p>
    <w:p>
      <w:pPr>
        <w:spacing w:line="360" w:lineRule="auto"/>
        <w:ind w:firstLine="480" w:firstLineChars="200"/>
        <w:jc w:val="both"/>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项目二：</w:t>
      </w:r>
    </w:p>
    <w:p>
      <w:pPr>
        <w:widowControl/>
        <w:spacing w:before="0" w:beforeAutospacing="0" w:after="0" w:afterAutospacing="0" w:line="480" w:lineRule="auto"/>
        <w:ind w:firstLine="480" w:firstLineChars="200"/>
        <w:jc w:val="left"/>
        <w:rPr>
          <w:rFonts w:ascii="仿宋" w:hAnsi="仿宋" w:eastAsia="仿宋" w:cs="仿宋"/>
          <w:b/>
          <w:bCs/>
          <w:color w:val="000000"/>
          <w:kern w:val="0"/>
          <w:sz w:val="30"/>
          <w:szCs w:val="30"/>
          <w:lang w:val="en-US" w:eastAsia="zh-CN" w:bidi="ar-SA"/>
        </w:rPr>
      </w:pPr>
      <w:r>
        <w:rPr>
          <w:rFonts w:hint="eastAsia" w:ascii="仿宋" w:hAnsi="仿宋" w:eastAsia="仿宋" w:cs="仿宋"/>
          <w:kern w:val="0"/>
          <w:sz w:val="24"/>
          <w:szCs w:val="24"/>
          <w:lang w:val="en-US" w:eastAsia="zh-CN" w:bidi="ar-SA"/>
        </w:rPr>
        <w:t>（1）项目名称：</w:t>
      </w:r>
      <w:bookmarkStart w:id="1" w:name="OLE_LINK4"/>
      <w:r>
        <w:rPr>
          <w:rFonts w:hint="eastAsia" w:ascii="仿宋" w:hAnsi="仿宋" w:eastAsia="仿宋" w:cs="仿宋"/>
          <w:kern w:val="0"/>
          <w:sz w:val="24"/>
          <w:szCs w:val="24"/>
          <w:lang w:val="en-US" w:eastAsia="zh-CN" w:bidi="ar-SA"/>
        </w:rPr>
        <w:t>华发十字门国际海岸花园肉菜市场</w:t>
      </w:r>
      <w:bookmarkEnd w:id="1"/>
    </w:p>
    <w:p>
      <w:pPr>
        <w:widowControl/>
        <w:spacing w:before="0" w:beforeAutospacing="0" w:after="0" w:afterAutospacing="0" w:line="480" w:lineRule="auto"/>
        <w:ind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（2）项目地点：珠海市香洲区湾仔银和巷26号肉菜市场</w:t>
      </w:r>
    </w:p>
    <w:p>
      <w:pPr>
        <w:widowControl/>
        <w:spacing w:before="0" w:beforeAutospacing="0" w:after="0" w:afterAutospacing="0" w:line="480" w:lineRule="auto"/>
        <w:ind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（3）招标人：珠海正方集团有限公司</w:t>
      </w:r>
    </w:p>
    <w:p>
      <w:pPr>
        <w:widowControl/>
        <w:spacing w:before="0" w:beforeAutospacing="0" w:after="0" w:afterAutospacing="0" w:line="480" w:lineRule="auto"/>
        <w:ind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（4）产权所属人：珠海市香洲区财政局</w:t>
      </w:r>
    </w:p>
    <w:p>
      <w:pPr>
        <w:widowControl/>
        <w:spacing w:before="0" w:beforeAutospacing="0" w:after="0" w:afterAutospacing="0" w:line="480" w:lineRule="auto"/>
        <w:ind w:firstLine="480" w:firstLineChars="200"/>
        <w:jc w:val="left"/>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（5）物业清单：华发十字门国际海岸花园肉菜市场建筑面积为1156.42m²。</w:t>
      </w:r>
    </w:p>
    <w:p>
      <w:pPr>
        <w:numPr>
          <w:ilvl w:val="0"/>
          <w:numId w:val="1"/>
        </w:numPr>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评估目的及依据：</w:t>
      </w:r>
    </w:p>
    <w:p>
      <w:pPr>
        <w:pStyle w:val="25"/>
        <w:spacing w:before="0" w:beforeAutospacing="0" w:after="0" w:afterAutospacing="0" w:line="480" w:lineRule="auto"/>
        <w:ind w:firstLine="480" w:firstLineChars="200"/>
        <w:rPr>
          <w:rFonts w:hint="eastAsia" w:ascii="仿宋" w:hAnsi="仿宋" w:eastAsia="仿宋" w:cs="仿宋"/>
          <w:szCs w:val="24"/>
        </w:rPr>
      </w:pPr>
      <w:r>
        <w:rPr>
          <w:rFonts w:hint="eastAsia" w:ascii="仿宋" w:hAnsi="仿宋" w:eastAsia="仿宋" w:cs="仿宋"/>
          <w:szCs w:val="24"/>
          <w:lang w:val="en-US" w:eastAsia="zh-CN"/>
        </w:rPr>
        <w:t>（一）</w:t>
      </w:r>
      <w:r>
        <w:rPr>
          <w:rFonts w:hint="eastAsia" w:ascii="仿宋" w:hAnsi="仿宋" w:eastAsia="仿宋" w:cs="仿宋"/>
          <w:szCs w:val="24"/>
        </w:rPr>
        <w:t>评估目的</w:t>
      </w:r>
    </w:p>
    <w:p>
      <w:pPr>
        <w:pStyle w:val="25"/>
        <w:spacing w:before="0" w:beforeAutospacing="0" w:after="0" w:afterAutospacing="0" w:line="480" w:lineRule="auto"/>
        <w:ind w:firstLine="480" w:firstLineChars="200"/>
        <w:rPr>
          <w:rFonts w:hint="eastAsia" w:ascii="仿宋" w:hAnsi="仿宋" w:eastAsia="仿宋" w:cs="仿宋"/>
          <w:szCs w:val="24"/>
        </w:rPr>
      </w:pPr>
      <w:r>
        <w:rPr>
          <w:rFonts w:hint="eastAsia" w:ascii="仿宋" w:hAnsi="仿宋" w:eastAsia="仿宋" w:cs="仿宋"/>
          <w:szCs w:val="24"/>
        </w:rPr>
        <w:t>对香宁花园32栋</w:t>
      </w:r>
      <w:r>
        <w:rPr>
          <w:rFonts w:hint="eastAsia" w:ascii="仿宋" w:hAnsi="仿宋" w:eastAsia="仿宋" w:cs="仿宋"/>
          <w:szCs w:val="24"/>
          <w:lang w:eastAsia="zh-CN"/>
        </w:rPr>
        <w:t>、</w:t>
      </w:r>
      <w:r>
        <w:rPr>
          <w:rFonts w:hint="eastAsia" w:ascii="仿宋" w:hAnsi="仿宋" w:eastAsia="仿宋" w:cs="仿宋"/>
          <w:szCs w:val="24"/>
        </w:rPr>
        <w:t>33栋、36栋</w:t>
      </w:r>
      <w:r>
        <w:rPr>
          <w:rFonts w:hint="eastAsia" w:ascii="仿宋" w:hAnsi="仿宋" w:eastAsia="仿宋" w:cs="仿宋"/>
          <w:b w:val="0"/>
          <w:bCs w:val="0"/>
          <w:sz w:val="24"/>
          <w:szCs w:val="24"/>
          <w:lang w:val="en-US" w:eastAsia="zh-CN"/>
        </w:rPr>
        <w:t>共83套物业</w:t>
      </w:r>
      <w:r>
        <w:rPr>
          <w:rFonts w:hint="eastAsia" w:ascii="仿宋" w:hAnsi="仿宋" w:eastAsia="仿宋" w:cs="仿宋"/>
          <w:szCs w:val="24"/>
        </w:rPr>
        <w:t>及华发十字门国际海岸花园肉菜市场物业进行市场价值评估，为上述物业账务入账提供价值依据，并为后续办理物业所有权过户相关手续提供价值参考。</w:t>
      </w:r>
    </w:p>
    <w:p>
      <w:pPr>
        <w:pStyle w:val="25"/>
        <w:spacing w:before="0" w:beforeAutospacing="0" w:after="0" w:afterAutospacing="0" w:line="480" w:lineRule="auto"/>
        <w:ind w:firstLine="480" w:firstLineChars="200"/>
        <w:rPr>
          <w:rFonts w:hint="eastAsia" w:ascii="仿宋" w:hAnsi="仿宋" w:eastAsia="仿宋" w:cs="仿宋"/>
          <w:szCs w:val="24"/>
        </w:rPr>
      </w:pPr>
      <w:r>
        <w:rPr>
          <w:rFonts w:hint="eastAsia" w:ascii="仿宋" w:hAnsi="仿宋" w:eastAsia="仿宋" w:cs="仿宋"/>
          <w:szCs w:val="24"/>
          <w:lang w:eastAsia="zh-CN"/>
        </w:rPr>
        <w:t>（</w:t>
      </w:r>
      <w:r>
        <w:rPr>
          <w:rFonts w:hint="eastAsia" w:ascii="仿宋" w:hAnsi="仿宋" w:eastAsia="仿宋" w:cs="仿宋"/>
          <w:szCs w:val="24"/>
          <w:lang w:val="en-US" w:eastAsia="zh-CN"/>
        </w:rPr>
        <w:t>二）</w:t>
      </w:r>
      <w:r>
        <w:rPr>
          <w:rFonts w:hint="eastAsia" w:ascii="仿宋" w:hAnsi="仿宋" w:eastAsia="仿宋" w:cs="仿宋"/>
          <w:szCs w:val="24"/>
        </w:rPr>
        <w:t>评估依据</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rPr>
        <w:t>由采购人提供房源明细表等评估所需资料</w:t>
      </w:r>
      <w:r>
        <w:rPr>
          <w:rFonts w:hint="eastAsia" w:ascii="仿宋" w:hAnsi="仿宋" w:eastAsia="仿宋" w:cs="仿宋"/>
          <w:szCs w:val="24"/>
          <w:highlight w:val="none"/>
        </w:rPr>
        <w:t>。</w:t>
      </w:r>
    </w:p>
    <w:p>
      <w:pPr>
        <w:spacing w:line="48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招标内容</w:t>
      </w:r>
    </w:p>
    <w:p>
      <w:pPr>
        <w:pStyle w:val="25"/>
        <w:spacing w:before="0" w:beforeAutospacing="0" w:after="0" w:afterAutospacing="0" w:line="480" w:lineRule="auto"/>
        <w:ind w:firstLine="480" w:firstLineChars="200"/>
        <w:rPr>
          <w:rFonts w:hint="eastAsia" w:ascii="仿宋" w:hAnsi="仿宋" w:eastAsia="仿宋" w:cs="仿宋"/>
          <w:szCs w:val="24"/>
          <w:highlight w:val="none"/>
          <w:lang w:val="en-US" w:eastAsia="zh-CN"/>
        </w:rPr>
      </w:pP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一</w:t>
      </w: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完成采购人指定上述物业的</w:t>
      </w:r>
      <w:r>
        <w:rPr>
          <w:rFonts w:hint="eastAsia" w:ascii="仿宋" w:hAnsi="仿宋" w:eastAsia="仿宋" w:cs="仿宋"/>
          <w:szCs w:val="24"/>
          <w:highlight w:val="none"/>
          <w:lang w:val="en-US" w:eastAsia="zh-CN"/>
        </w:rPr>
        <w:t>市场</w:t>
      </w:r>
      <w:r>
        <w:rPr>
          <w:rFonts w:hint="eastAsia" w:ascii="仿宋" w:hAnsi="仿宋" w:eastAsia="仿宋" w:cs="仿宋"/>
          <w:szCs w:val="24"/>
          <w:highlight w:val="none"/>
          <w:lang w:val="en-US" w:eastAsia="zh-CN"/>
        </w:rPr>
        <w:t>价值评估。在保证质量并符合实际价值的前提下出具房地产估价报告。</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二</w:t>
      </w:r>
      <w:r>
        <w:rPr>
          <w:rFonts w:hint="eastAsia" w:ascii="仿宋" w:hAnsi="仿宋" w:eastAsia="仿宋" w:cs="仿宋"/>
          <w:szCs w:val="24"/>
          <w:highlight w:val="none"/>
        </w:rPr>
        <w:t>）编制项目物业的评估报告书</w:t>
      </w:r>
      <w:r>
        <w:rPr>
          <w:rFonts w:hint="eastAsia" w:ascii="仿宋" w:hAnsi="仿宋" w:eastAsia="仿宋" w:cs="仿宋"/>
          <w:szCs w:val="24"/>
          <w:highlight w:val="none"/>
          <w:lang w:eastAsia="zh-CN"/>
        </w:rPr>
        <w:t>，</w:t>
      </w:r>
      <w:r>
        <w:rPr>
          <w:rFonts w:hint="eastAsia" w:ascii="仿宋" w:hAnsi="仿宋" w:eastAsia="仿宋" w:cs="仿宋"/>
          <w:szCs w:val="24"/>
          <w:highlight w:val="none"/>
        </w:rPr>
        <w:t>所有成果文件符合国家及广东省资产评估标准并组织和确保通关相关主管部门的评审。</w:t>
      </w:r>
    </w:p>
    <w:p>
      <w:pPr>
        <w:pStyle w:val="25"/>
        <w:spacing w:before="0" w:beforeAutospacing="0" w:after="0" w:afterAutospacing="0" w:line="480" w:lineRule="auto"/>
        <w:ind w:firstLine="480" w:firstLineChars="200"/>
        <w:rPr>
          <w:rFonts w:hint="default" w:ascii="仿宋" w:hAnsi="仿宋" w:eastAsia="仿宋" w:cs="仿宋"/>
          <w:szCs w:val="24"/>
          <w:highlight w:val="none"/>
        </w:rPr>
      </w:pP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三）</w:t>
      </w:r>
      <w:r>
        <w:rPr>
          <w:rFonts w:hint="eastAsia" w:ascii="仿宋" w:hAnsi="仿宋" w:eastAsia="仿宋" w:cs="仿宋"/>
          <w:highlight w:val="none"/>
        </w:rPr>
        <w:t>提供评估相关的其它咨询服务。</w:t>
      </w:r>
    </w:p>
    <w:p>
      <w:pPr>
        <w:spacing w:line="480" w:lineRule="auto"/>
        <w:ind w:left="482"/>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四、</w:t>
      </w:r>
      <w:r>
        <w:rPr>
          <w:rFonts w:hint="eastAsia" w:ascii="仿宋" w:hAnsi="仿宋" w:eastAsia="仿宋" w:cs="仿宋"/>
          <w:b/>
          <w:bCs/>
          <w:sz w:val="24"/>
          <w:szCs w:val="24"/>
          <w:highlight w:val="none"/>
        </w:rPr>
        <w:t>价值评估要求</w:t>
      </w:r>
    </w:p>
    <w:p>
      <w:pPr>
        <w:pStyle w:val="25"/>
        <w:spacing w:before="0" w:beforeAutospacing="0" w:after="0" w:afterAutospacing="0" w:line="480" w:lineRule="auto"/>
        <w:ind w:firstLine="240" w:firstLineChars="100"/>
        <w:rPr>
          <w:rFonts w:hint="eastAsia" w:ascii="仿宋" w:hAnsi="仿宋" w:eastAsia="仿宋" w:cs="仿宋"/>
          <w:szCs w:val="24"/>
          <w:highlight w:val="none"/>
        </w:rPr>
      </w:pP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一</w:t>
      </w:r>
      <w:r>
        <w:rPr>
          <w:rFonts w:hint="eastAsia" w:ascii="仿宋" w:hAnsi="仿宋" w:eastAsia="仿宋" w:cs="仿宋"/>
          <w:szCs w:val="24"/>
          <w:highlight w:val="none"/>
        </w:rPr>
        <w:t>）物业价值评估要求</w:t>
      </w:r>
    </w:p>
    <w:p>
      <w:pPr>
        <w:pStyle w:val="25"/>
        <w:spacing w:before="0" w:beforeAutospacing="0" w:after="0" w:afterAutospacing="0" w:line="480" w:lineRule="auto"/>
        <w:ind w:firstLine="480" w:firstLineChars="200"/>
        <w:rPr>
          <w:rFonts w:hint="eastAsia" w:ascii="仿宋" w:hAnsi="仿宋" w:eastAsia="仿宋" w:cs="仿宋"/>
          <w:szCs w:val="24"/>
          <w:highlight w:val="none"/>
          <w:lang w:val="en-US" w:eastAsia="zh-CN"/>
        </w:rPr>
      </w:pPr>
      <w:r>
        <w:rPr>
          <w:rFonts w:hint="eastAsia" w:ascii="仿宋" w:hAnsi="仿宋" w:eastAsia="仿宋" w:cs="仿宋"/>
          <w:szCs w:val="24"/>
          <w:highlight w:val="none"/>
          <w:lang w:val="en-US" w:eastAsia="zh-CN"/>
        </w:rPr>
        <w:t>1.</w:t>
      </w:r>
      <w:r>
        <w:rPr>
          <w:rFonts w:hint="eastAsia" w:ascii="仿宋" w:hAnsi="仿宋" w:eastAsia="仿宋" w:cs="仿宋"/>
          <w:szCs w:val="24"/>
          <w:highlight w:val="none"/>
          <w:lang w:val="en-US" w:eastAsia="zh-CN"/>
        </w:rPr>
        <w:t>按国家有关法律、行政法规和估价规范准则要求，出具房地产估价报告。</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lang w:val="en-US" w:eastAsia="zh-CN"/>
        </w:rPr>
        <w:t>2.</w:t>
      </w:r>
      <w:r>
        <w:rPr>
          <w:rFonts w:hint="eastAsia" w:ascii="仿宋" w:hAnsi="仿宋" w:eastAsia="仿宋" w:cs="仿宋"/>
          <w:szCs w:val="24"/>
          <w:highlight w:val="none"/>
        </w:rPr>
        <w:t>在对物业进行评估时，要考虑到物业功能、建成年份、周边市场价格、产权证证载面积等方面的情况。</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lang w:eastAsia="zh-CN"/>
        </w:rPr>
        <w:t>（</w:t>
      </w:r>
      <w:r>
        <w:rPr>
          <w:rFonts w:hint="eastAsia" w:ascii="仿宋" w:hAnsi="仿宋" w:eastAsia="仿宋" w:cs="仿宋"/>
          <w:szCs w:val="24"/>
          <w:highlight w:val="none"/>
          <w:lang w:val="en-US" w:eastAsia="zh-CN"/>
        </w:rPr>
        <w:t>二）</w:t>
      </w:r>
      <w:r>
        <w:rPr>
          <w:rFonts w:hint="eastAsia" w:ascii="仿宋" w:hAnsi="仿宋" w:eastAsia="仿宋" w:cs="仿宋"/>
          <w:szCs w:val="24"/>
          <w:highlight w:val="none"/>
          <w:lang w:val="en-US" w:eastAsia="zh-CN"/>
        </w:rPr>
        <w:t>评估方法</w:t>
      </w:r>
    </w:p>
    <w:p>
      <w:pPr>
        <w:pStyle w:val="25"/>
        <w:spacing w:before="0" w:beforeAutospacing="0" w:after="0" w:afterAutospacing="0" w:line="480" w:lineRule="auto"/>
        <w:ind w:firstLine="480" w:firstLineChars="200"/>
        <w:rPr>
          <w:rFonts w:hint="eastAsia" w:ascii="仿宋" w:hAnsi="仿宋" w:eastAsia="仿宋" w:cs="仿宋"/>
          <w:szCs w:val="24"/>
          <w:highlight w:val="none"/>
          <w:lang w:val="en-US" w:eastAsia="zh-CN"/>
        </w:rPr>
      </w:pPr>
      <w:r>
        <w:rPr>
          <w:rFonts w:hint="eastAsia" w:ascii="仿宋" w:hAnsi="仿宋" w:eastAsia="仿宋" w:cs="仿宋"/>
          <w:szCs w:val="24"/>
          <w:highlight w:val="none"/>
          <w:lang w:val="en-US" w:eastAsia="zh-CN"/>
        </w:rPr>
        <w:t>1.</w:t>
      </w:r>
      <w:r>
        <w:rPr>
          <w:rFonts w:hint="eastAsia" w:ascii="仿宋" w:hAnsi="仿宋" w:eastAsia="仿宋" w:cs="仿宋"/>
          <w:szCs w:val="24"/>
          <w:highlight w:val="none"/>
          <w:lang w:val="en-US" w:eastAsia="zh-CN"/>
        </w:rPr>
        <w:t>评估专业人员应当恰当选择评估方法，除依据评估执业准则只能选择一种评估方法的外，应当选择两种以上评估方法，经综合分析，形成评估结论，编制评估报告。</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lang w:val="en-US" w:eastAsia="zh-CN"/>
        </w:rPr>
        <w:t>2.</w:t>
      </w:r>
      <w:r>
        <w:rPr>
          <w:rFonts w:hint="eastAsia" w:ascii="仿宋" w:hAnsi="仿宋" w:eastAsia="仿宋" w:cs="仿宋"/>
          <w:szCs w:val="24"/>
          <w:highlight w:val="none"/>
        </w:rPr>
        <w:t>执行标准：执行国家、广东省、珠海市现行法律法规及相关规定要求。</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lang w:val="en-US" w:eastAsia="zh-CN"/>
        </w:rPr>
        <w:t>3.</w:t>
      </w:r>
      <w:r>
        <w:rPr>
          <w:rFonts w:hint="eastAsia" w:ascii="仿宋" w:hAnsi="仿宋" w:eastAsia="仿宋" w:cs="仿宋"/>
          <w:szCs w:val="24"/>
          <w:highlight w:val="none"/>
        </w:rPr>
        <w:t>其他事项：评估报告出具后，须发送一份成果扫描版给采购人指定经办人，并装订</w:t>
      </w:r>
      <w:r>
        <w:rPr>
          <w:rFonts w:hint="eastAsia" w:ascii="仿宋" w:hAnsi="仿宋" w:eastAsia="仿宋" w:cs="仿宋"/>
          <w:szCs w:val="24"/>
          <w:highlight w:val="none"/>
          <w:lang w:val="en-US" w:eastAsia="zh-CN"/>
        </w:rPr>
        <w:t>3</w:t>
      </w:r>
      <w:r>
        <w:rPr>
          <w:rFonts w:hint="eastAsia" w:ascii="仿宋" w:hAnsi="仿宋" w:eastAsia="仿宋" w:cs="仿宋"/>
          <w:szCs w:val="24"/>
          <w:highlight w:val="none"/>
        </w:rPr>
        <w:t>份成果文件送采购人存档。</w:t>
      </w:r>
    </w:p>
    <w:p>
      <w:pPr>
        <w:spacing w:line="480" w:lineRule="auto"/>
        <w:ind w:firstLine="482" w:firstLineChars="200"/>
        <w:rPr>
          <w:rFonts w:hint="eastAsia" w:ascii="仿宋" w:hAnsi="仿宋" w:eastAsia="仿宋" w:cs="仿宋"/>
          <w:b/>
          <w:sz w:val="24"/>
          <w:szCs w:val="24"/>
          <w:highlight w:val="none"/>
        </w:rPr>
      </w:pPr>
      <w:r>
        <w:rPr>
          <w:rFonts w:hint="eastAsia" w:ascii="仿宋" w:hAnsi="仿宋" w:eastAsia="仿宋" w:cs="仿宋"/>
          <w:b/>
          <w:bCs/>
          <w:sz w:val="24"/>
          <w:szCs w:val="24"/>
          <w:highlight w:val="none"/>
          <w:lang w:val="en-US" w:eastAsia="zh-CN"/>
        </w:rPr>
        <w:t>五、</w:t>
      </w:r>
      <w:r>
        <w:rPr>
          <w:rFonts w:hint="eastAsia" w:ascii="仿宋" w:hAnsi="仿宋" w:eastAsia="仿宋" w:cs="仿宋"/>
          <w:b/>
          <w:sz w:val="24"/>
          <w:szCs w:val="24"/>
          <w:highlight w:val="none"/>
        </w:rPr>
        <w:t>工作进度及成果要求</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一</w:t>
      </w:r>
      <w:r>
        <w:rPr>
          <w:rFonts w:hint="eastAsia" w:ascii="仿宋" w:hAnsi="仿宋" w:eastAsia="仿宋" w:cs="仿宋"/>
          <w:szCs w:val="24"/>
          <w:highlight w:val="none"/>
        </w:rPr>
        <w:t>）中标后，接到正式评估委托函之日起7个工作日内提交咨询报告（初稿），满足动态管理要求</w:t>
      </w:r>
      <w:r>
        <w:rPr>
          <w:rFonts w:hint="eastAsia" w:ascii="仿宋" w:hAnsi="仿宋" w:eastAsia="仿宋" w:cs="仿宋"/>
          <w:szCs w:val="24"/>
          <w:highlight w:val="none"/>
          <w:lang w:eastAsia="zh-CN"/>
        </w:rPr>
        <w:t>。</w:t>
      </w:r>
    </w:p>
    <w:p>
      <w:pPr>
        <w:pStyle w:val="25"/>
        <w:spacing w:before="0" w:beforeAutospacing="0" w:after="0" w:afterAutospacing="0" w:line="480" w:lineRule="auto"/>
        <w:ind w:firstLine="480" w:firstLineChars="200"/>
        <w:rPr>
          <w:rFonts w:hint="eastAsia" w:ascii="仿宋" w:hAnsi="仿宋" w:eastAsia="仿宋" w:cs="仿宋"/>
          <w:szCs w:val="24"/>
          <w:highlight w:val="none"/>
        </w:rPr>
      </w:pP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二</w:t>
      </w:r>
      <w:r>
        <w:rPr>
          <w:rFonts w:hint="eastAsia" w:ascii="仿宋" w:hAnsi="仿宋" w:eastAsia="仿宋" w:cs="仿宋"/>
          <w:szCs w:val="24"/>
          <w:highlight w:val="none"/>
        </w:rPr>
        <w:t>）如采购人对咨询报告（初稿）有修改意见，需在采购人提出修改意见后的3个工作日内作出修改；如采购人无相关修改意见，则在采购人确认通知后的1个工作日内出具正式盖章的咨询报告。</w:t>
      </w:r>
    </w:p>
    <w:p>
      <w:pPr>
        <w:pStyle w:val="25"/>
        <w:numPr>
          <w:ilvl w:val="0"/>
          <w:numId w:val="2"/>
        </w:numPr>
        <w:spacing w:before="0" w:beforeAutospacing="0" w:after="0" w:afterAutospacing="0" w:line="480" w:lineRule="auto"/>
        <w:ind w:left="480" w:firstLine="0"/>
        <w:rPr>
          <w:rFonts w:hint="eastAsia" w:ascii="仿宋" w:hAnsi="仿宋" w:eastAsia="仿宋" w:cs="仿宋"/>
          <w:szCs w:val="24"/>
          <w:highlight w:val="none"/>
        </w:rPr>
      </w:pPr>
      <w:r>
        <w:rPr>
          <w:rFonts w:hint="eastAsia" w:ascii="仿宋" w:hAnsi="仿宋" w:eastAsia="仿宋" w:cs="仿宋"/>
          <w:szCs w:val="24"/>
          <w:highlight w:val="none"/>
        </w:rPr>
        <w:t>服务期限为中标通知书发出之日起至项目完成时止。</w:t>
      </w:r>
    </w:p>
    <w:p>
      <w:pPr>
        <w:pStyle w:val="25"/>
        <w:spacing w:before="0" w:beforeAutospacing="0" w:after="0" w:afterAutospacing="0" w:line="480" w:lineRule="auto"/>
        <w:ind w:firstLine="480" w:firstLineChars="200"/>
        <w:rPr>
          <w:rFonts w:hint="eastAsia" w:ascii="仿宋" w:hAnsi="仿宋" w:eastAsia="仿宋" w:cs="仿宋"/>
          <w:szCs w:val="24"/>
        </w:rPr>
      </w:pPr>
    </w:p>
    <w:sectPr>
      <w:footerReference r:id="rId3" w:type="default"/>
      <w:pgSz w:w="11906" w:h="16838"/>
      <w:pgMar w:top="1417" w:right="1701" w:bottom="1417" w:left="1701" w:header="720" w:footer="720"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3</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EDB8"/>
    <w:multiLevelType w:val="singleLevel"/>
    <w:tmpl w:val="C4BCEDB8"/>
    <w:lvl w:ilvl="0" w:tentative="0">
      <w:start w:val="1"/>
      <w:numFmt w:val="chineseCounting"/>
      <w:suff w:val="nothing"/>
      <w:lvlText w:val="%1、"/>
      <w:lvlJc w:val="left"/>
      <w:rPr>
        <w:rFonts w:hint="eastAsia"/>
      </w:rPr>
    </w:lvl>
  </w:abstractNum>
  <w:abstractNum w:abstractNumId="1">
    <w:nsid w:val="DF181B03"/>
    <w:multiLevelType w:val="singleLevel"/>
    <w:tmpl w:val="DF181B03"/>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2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99F"/>
    <w:rsid w:val="00027461"/>
    <w:rsid w:val="000404BD"/>
    <w:rsid w:val="00045620"/>
    <w:rsid w:val="000506D8"/>
    <w:rsid w:val="00053CCA"/>
    <w:rsid w:val="000651EB"/>
    <w:rsid w:val="000652F1"/>
    <w:rsid w:val="00065397"/>
    <w:rsid w:val="0007202D"/>
    <w:rsid w:val="000749B6"/>
    <w:rsid w:val="00075FFD"/>
    <w:rsid w:val="000925D2"/>
    <w:rsid w:val="00096BD0"/>
    <w:rsid w:val="000B0854"/>
    <w:rsid w:val="000C5732"/>
    <w:rsid w:val="000D1A42"/>
    <w:rsid w:val="000D256F"/>
    <w:rsid w:val="000D3DC6"/>
    <w:rsid w:val="000E7EBA"/>
    <w:rsid w:val="000F3523"/>
    <w:rsid w:val="00116225"/>
    <w:rsid w:val="00124C01"/>
    <w:rsid w:val="001360C1"/>
    <w:rsid w:val="00141575"/>
    <w:rsid w:val="00152DBA"/>
    <w:rsid w:val="001879E7"/>
    <w:rsid w:val="00191417"/>
    <w:rsid w:val="001926F9"/>
    <w:rsid w:val="001C2E93"/>
    <w:rsid w:val="001C2EE6"/>
    <w:rsid w:val="001C74E3"/>
    <w:rsid w:val="001E0E0F"/>
    <w:rsid w:val="001E5A2A"/>
    <w:rsid w:val="001E7B3E"/>
    <w:rsid w:val="001F0224"/>
    <w:rsid w:val="0021161A"/>
    <w:rsid w:val="00243165"/>
    <w:rsid w:val="0024688A"/>
    <w:rsid w:val="0025239F"/>
    <w:rsid w:val="00264DEC"/>
    <w:rsid w:val="00287354"/>
    <w:rsid w:val="00290F19"/>
    <w:rsid w:val="00292491"/>
    <w:rsid w:val="00295172"/>
    <w:rsid w:val="002A7272"/>
    <w:rsid w:val="002C075B"/>
    <w:rsid w:val="002C2D80"/>
    <w:rsid w:val="002D698E"/>
    <w:rsid w:val="002E4F63"/>
    <w:rsid w:val="002F5D60"/>
    <w:rsid w:val="00305F80"/>
    <w:rsid w:val="00310D7F"/>
    <w:rsid w:val="00344373"/>
    <w:rsid w:val="00366235"/>
    <w:rsid w:val="00393B79"/>
    <w:rsid w:val="003A041A"/>
    <w:rsid w:val="003A5A00"/>
    <w:rsid w:val="003A60A9"/>
    <w:rsid w:val="003B0198"/>
    <w:rsid w:val="003C28B9"/>
    <w:rsid w:val="003F6E63"/>
    <w:rsid w:val="0040625A"/>
    <w:rsid w:val="0042087D"/>
    <w:rsid w:val="004215C3"/>
    <w:rsid w:val="00430B3F"/>
    <w:rsid w:val="0043195E"/>
    <w:rsid w:val="00440E83"/>
    <w:rsid w:val="0044629D"/>
    <w:rsid w:val="004702BB"/>
    <w:rsid w:val="0047709D"/>
    <w:rsid w:val="00484247"/>
    <w:rsid w:val="00491C3D"/>
    <w:rsid w:val="004945B9"/>
    <w:rsid w:val="00494B6A"/>
    <w:rsid w:val="00497E46"/>
    <w:rsid w:val="004C5100"/>
    <w:rsid w:val="00511378"/>
    <w:rsid w:val="00522C21"/>
    <w:rsid w:val="0053286A"/>
    <w:rsid w:val="0053461C"/>
    <w:rsid w:val="005447E5"/>
    <w:rsid w:val="00551797"/>
    <w:rsid w:val="00552C6C"/>
    <w:rsid w:val="005C0A39"/>
    <w:rsid w:val="005C4A0A"/>
    <w:rsid w:val="005C60D6"/>
    <w:rsid w:val="005E4016"/>
    <w:rsid w:val="005F2D01"/>
    <w:rsid w:val="006168F4"/>
    <w:rsid w:val="006508B4"/>
    <w:rsid w:val="00673B59"/>
    <w:rsid w:val="006E2C9C"/>
    <w:rsid w:val="006F1A57"/>
    <w:rsid w:val="006F4A7E"/>
    <w:rsid w:val="006F7853"/>
    <w:rsid w:val="007026CC"/>
    <w:rsid w:val="00721D66"/>
    <w:rsid w:val="00747603"/>
    <w:rsid w:val="007478C8"/>
    <w:rsid w:val="00750A49"/>
    <w:rsid w:val="007542FC"/>
    <w:rsid w:val="00772045"/>
    <w:rsid w:val="007749E5"/>
    <w:rsid w:val="007A76C8"/>
    <w:rsid w:val="007C6D82"/>
    <w:rsid w:val="00800249"/>
    <w:rsid w:val="00800EB0"/>
    <w:rsid w:val="008040DB"/>
    <w:rsid w:val="0082356B"/>
    <w:rsid w:val="00823F77"/>
    <w:rsid w:val="00826EB1"/>
    <w:rsid w:val="00833091"/>
    <w:rsid w:val="008377A7"/>
    <w:rsid w:val="0087734C"/>
    <w:rsid w:val="00884182"/>
    <w:rsid w:val="00897EEB"/>
    <w:rsid w:val="008B2D37"/>
    <w:rsid w:val="008B517B"/>
    <w:rsid w:val="008B5B76"/>
    <w:rsid w:val="008C729A"/>
    <w:rsid w:val="008E36D7"/>
    <w:rsid w:val="008F0125"/>
    <w:rsid w:val="008F23AF"/>
    <w:rsid w:val="0092086B"/>
    <w:rsid w:val="00925689"/>
    <w:rsid w:val="0095690B"/>
    <w:rsid w:val="009763BB"/>
    <w:rsid w:val="00986373"/>
    <w:rsid w:val="009B5CFC"/>
    <w:rsid w:val="009C1739"/>
    <w:rsid w:val="009D2BFF"/>
    <w:rsid w:val="009F052E"/>
    <w:rsid w:val="009F62AC"/>
    <w:rsid w:val="00A01B7A"/>
    <w:rsid w:val="00A0499F"/>
    <w:rsid w:val="00A06555"/>
    <w:rsid w:val="00A1095C"/>
    <w:rsid w:val="00A204A3"/>
    <w:rsid w:val="00A229EF"/>
    <w:rsid w:val="00A44327"/>
    <w:rsid w:val="00A5473F"/>
    <w:rsid w:val="00A66689"/>
    <w:rsid w:val="00A66927"/>
    <w:rsid w:val="00A81877"/>
    <w:rsid w:val="00AA129C"/>
    <w:rsid w:val="00AA304E"/>
    <w:rsid w:val="00AB7D4C"/>
    <w:rsid w:val="00AC20D1"/>
    <w:rsid w:val="00AC222D"/>
    <w:rsid w:val="00AC6CD3"/>
    <w:rsid w:val="00AD4694"/>
    <w:rsid w:val="00AE352D"/>
    <w:rsid w:val="00AF3D6D"/>
    <w:rsid w:val="00B04C34"/>
    <w:rsid w:val="00B50CC9"/>
    <w:rsid w:val="00B5344E"/>
    <w:rsid w:val="00B603D0"/>
    <w:rsid w:val="00B609B3"/>
    <w:rsid w:val="00B84D68"/>
    <w:rsid w:val="00B9057D"/>
    <w:rsid w:val="00B90CE8"/>
    <w:rsid w:val="00BA5079"/>
    <w:rsid w:val="00BA5E6D"/>
    <w:rsid w:val="00BB20E2"/>
    <w:rsid w:val="00BF613F"/>
    <w:rsid w:val="00C1139E"/>
    <w:rsid w:val="00C23DCF"/>
    <w:rsid w:val="00C26E82"/>
    <w:rsid w:val="00C36706"/>
    <w:rsid w:val="00C5419F"/>
    <w:rsid w:val="00C56469"/>
    <w:rsid w:val="00C82425"/>
    <w:rsid w:val="00C830DD"/>
    <w:rsid w:val="00C8388C"/>
    <w:rsid w:val="00C83A63"/>
    <w:rsid w:val="00C86848"/>
    <w:rsid w:val="00C91511"/>
    <w:rsid w:val="00CB4E4F"/>
    <w:rsid w:val="00CD3950"/>
    <w:rsid w:val="00CE071B"/>
    <w:rsid w:val="00CF7565"/>
    <w:rsid w:val="00D04409"/>
    <w:rsid w:val="00D13DD0"/>
    <w:rsid w:val="00D349D9"/>
    <w:rsid w:val="00D36187"/>
    <w:rsid w:val="00D40184"/>
    <w:rsid w:val="00D522CF"/>
    <w:rsid w:val="00D626A8"/>
    <w:rsid w:val="00D85D24"/>
    <w:rsid w:val="00D861A5"/>
    <w:rsid w:val="00DF340B"/>
    <w:rsid w:val="00DF4663"/>
    <w:rsid w:val="00E11C1E"/>
    <w:rsid w:val="00E269E8"/>
    <w:rsid w:val="00E31FE8"/>
    <w:rsid w:val="00E55C4E"/>
    <w:rsid w:val="00E60F15"/>
    <w:rsid w:val="00E84931"/>
    <w:rsid w:val="00E97B3F"/>
    <w:rsid w:val="00EA3EE5"/>
    <w:rsid w:val="00EA5280"/>
    <w:rsid w:val="00EB267F"/>
    <w:rsid w:val="00EB299D"/>
    <w:rsid w:val="00EB664D"/>
    <w:rsid w:val="00EC1C61"/>
    <w:rsid w:val="00ED21FE"/>
    <w:rsid w:val="00EF0629"/>
    <w:rsid w:val="00F04C1B"/>
    <w:rsid w:val="00F1429C"/>
    <w:rsid w:val="00F24467"/>
    <w:rsid w:val="00F377F1"/>
    <w:rsid w:val="00F43C9A"/>
    <w:rsid w:val="00F56870"/>
    <w:rsid w:val="00F73AEA"/>
    <w:rsid w:val="00F82EC8"/>
    <w:rsid w:val="00F90D99"/>
    <w:rsid w:val="00F94246"/>
    <w:rsid w:val="00FC6596"/>
    <w:rsid w:val="00FD1287"/>
    <w:rsid w:val="00FD25BF"/>
    <w:rsid w:val="00FD275F"/>
    <w:rsid w:val="00FD4EAC"/>
    <w:rsid w:val="00FF0155"/>
    <w:rsid w:val="00FF3F77"/>
    <w:rsid w:val="00FF4939"/>
    <w:rsid w:val="01DB1C83"/>
    <w:rsid w:val="02BC3AC6"/>
    <w:rsid w:val="062A2D91"/>
    <w:rsid w:val="064C5349"/>
    <w:rsid w:val="0670519C"/>
    <w:rsid w:val="08122FC3"/>
    <w:rsid w:val="091E5277"/>
    <w:rsid w:val="0A546A76"/>
    <w:rsid w:val="0ADD0910"/>
    <w:rsid w:val="0B065FC2"/>
    <w:rsid w:val="0B6131F9"/>
    <w:rsid w:val="0BDC0AB6"/>
    <w:rsid w:val="0C1C7A68"/>
    <w:rsid w:val="0CDE6ACB"/>
    <w:rsid w:val="0E88384C"/>
    <w:rsid w:val="0E9E41EB"/>
    <w:rsid w:val="0FF57E44"/>
    <w:rsid w:val="101035A7"/>
    <w:rsid w:val="105C6685"/>
    <w:rsid w:val="10867BBE"/>
    <w:rsid w:val="10953945"/>
    <w:rsid w:val="10D750AD"/>
    <w:rsid w:val="11B36B9D"/>
    <w:rsid w:val="12D60C91"/>
    <w:rsid w:val="12DD2227"/>
    <w:rsid w:val="14764CC1"/>
    <w:rsid w:val="164729EF"/>
    <w:rsid w:val="174E5C7F"/>
    <w:rsid w:val="17AC73A4"/>
    <w:rsid w:val="1A2C70C8"/>
    <w:rsid w:val="1A2E29AA"/>
    <w:rsid w:val="1B4673BE"/>
    <w:rsid w:val="1B776359"/>
    <w:rsid w:val="1CA94A00"/>
    <w:rsid w:val="1CF719AD"/>
    <w:rsid w:val="1D11464B"/>
    <w:rsid w:val="1D515CDD"/>
    <w:rsid w:val="1D6A282B"/>
    <w:rsid w:val="1E214A3F"/>
    <w:rsid w:val="1F594AD6"/>
    <w:rsid w:val="201B31F7"/>
    <w:rsid w:val="21266709"/>
    <w:rsid w:val="239D2DE4"/>
    <w:rsid w:val="23AD2E5D"/>
    <w:rsid w:val="23F257F6"/>
    <w:rsid w:val="24C17467"/>
    <w:rsid w:val="25324DCD"/>
    <w:rsid w:val="25711908"/>
    <w:rsid w:val="269C002F"/>
    <w:rsid w:val="28C11323"/>
    <w:rsid w:val="292D69B8"/>
    <w:rsid w:val="294F67FF"/>
    <w:rsid w:val="2A73233B"/>
    <w:rsid w:val="2B232861"/>
    <w:rsid w:val="2B683CD8"/>
    <w:rsid w:val="2BFD5AE0"/>
    <w:rsid w:val="2C0B2F89"/>
    <w:rsid w:val="2DC55411"/>
    <w:rsid w:val="2DD254AE"/>
    <w:rsid w:val="2DEA0957"/>
    <w:rsid w:val="2E40185A"/>
    <w:rsid w:val="2E48676B"/>
    <w:rsid w:val="2EF0642D"/>
    <w:rsid w:val="307A5D16"/>
    <w:rsid w:val="33287129"/>
    <w:rsid w:val="346501A4"/>
    <w:rsid w:val="349654FF"/>
    <w:rsid w:val="35187CC2"/>
    <w:rsid w:val="36221E69"/>
    <w:rsid w:val="36DE1817"/>
    <w:rsid w:val="38060B00"/>
    <w:rsid w:val="381C20D2"/>
    <w:rsid w:val="38767988"/>
    <w:rsid w:val="38FF2E5F"/>
    <w:rsid w:val="3EB31446"/>
    <w:rsid w:val="3F7C1F3E"/>
    <w:rsid w:val="40187790"/>
    <w:rsid w:val="40E61958"/>
    <w:rsid w:val="41E84C26"/>
    <w:rsid w:val="42D00EC8"/>
    <w:rsid w:val="45165F48"/>
    <w:rsid w:val="4560787D"/>
    <w:rsid w:val="458E4303"/>
    <w:rsid w:val="47ED0536"/>
    <w:rsid w:val="48AF57DE"/>
    <w:rsid w:val="49681378"/>
    <w:rsid w:val="4A4B1721"/>
    <w:rsid w:val="4BBD4583"/>
    <w:rsid w:val="4C0956F2"/>
    <w:rsid w:val="4C10156A"/>
    <w:rsid w:val="4D1D096E"/>
    <w:rsid w:val="4D937AD1"/>
    <w:rsid w:val="4DDB4526"/>
    <w:rsid w:val="4E6C7F8A"/>
    <w:rsid w:val="4EDE7C89"/>
    <w:rsid w:val="506F22CA"/>
    <w:rsid w:val="50A56CB1"/>
    <w:rsid w:val="51223A4E"/>
    <w:rsid w:val="52A52D3F"/>
    <w:rsid w:val="52A631B4"/>
    <w:rsid w:val="53730E9C"/>
    <w:rsid w:val="53797844"/>
    <w:rsid w:val="53B451EE"/>
    <w:rsid w:val="54F872A6"/>
    <w:rsid w:val="588F11F3"/>
    <w:rsid w:val="58FD67D7"/>
    <w:rsid w:val="59634849"/>
    <w:rsid w:val="5AE61E7F"/>
    <w:rsid w:val="5BF2502E"/>
    <w:rsid w:val="5C2841EC"/>
    <w:rsid w:val="5C773060"/>
    <w:rsid w:val="5CCF270B"/>
    <w:rsid w:val="5CF2286D"/>
    <w:rsid w:val="5D071416"/>
    <w:rsid w:val="5D0C78BA"/>
    <w:rsid w:val="5DEF6CCC"/>
    <w:rsid w:val="5E5153C1"/>
    <w:rsid w:val="5E571A93"/>
    <w:rsid w:val="5EA274BE"/>
    <w:rsid w:val="5FD947B3"/>
    <w:rsid w:val="61166CDF"/>
    <w:rsid w:val="62073C9A"/>
    <w:rsid w:val="625201A2"/>
    <w:rsid w:val="640B10C9"/>
    <w:rsid w:val="647D0D56"/>
    <w:rsid w:val="649E7F58"/>
    <w:rsid w:val="66660838"/>
    <w:rsid w:val="669F3901"/>
    <w:rsid w:val="678C216F"/>
    <w:rsid w:val="6A1477E9"/>
    <w:rsid w:val="6A3C1A0B"/>
    <w:rsid w:val="6C9F3023"/>
    <w:rsid w:val="6D1C7EA3"/>
    <w:rsid w:val="6DE22E9A"/>
    <w:rsid w:val="6F5760C8"/>
    <w:rsid w:val="70474E34"/>
    <w:rsid w:val="74B635DA"/>
    <w:rsid w:val="752D1EDE"/>
    <w:rsid w:val="75666D23"/>
    <w:rsid w:val="760B623C"/>
    <w:rsid w:val="764F570F"/>
    <w:rsid w:val="76684159"/>
    <w:rsid w:val="76BD6253"/>
    <w:rsid w:val="76C6247A"/>
    <w:rsid w:val="76DA3A56"/>
    <w:rsid w:val="77043CBE"/>
    <w:rsid w:val="7750391D"/>
    <w:rsid w:val="776A45F1"/>
    <w:rsid w:val="77B618C4"/>
    <w:rsid w:val="788A03B6"/>
    <w:rsid w:val="7B622613"/>
    <w:rsid w:val="7BC2652D"/>
    <w:rsid w:val="7C650F5B"/>
    <w:rsid w:val="7C6667F9"/>
    <w:rsid w:val="7F97273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name="toc 3"/>
    <w:lsdException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cs="宋体"/>
      <w:sz w:val="2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jc w:val="center"/>
      <w:outlineLvl w:val="1"/>
    </w:pPr>
    <w:rPr>
      <w:rFonts w:ascii="Arial" w:hAnsi="Arial" w:eastAsia="黑体"/>
      <w:b/>
      <w:bCs/>
      <w:sz w:val="32"/>
      <w:szCs w:val="32"/>
    </w:rPr>
  </w:style>
  <w:style w:type="paragraph" w:styleId="4">
    <w:name w:val="heading 3"/>
    <w:basedOn w:val="1"/>
    <w:next w:val="1"/>
    <w:qFormat/>
    <w:uiPriority w:val="0"/>
    <w:pPr>
      <w:spacing w:before="18" w:after="100" w:afterAutospacing="1"/>
      <w:ind w:left="162"/>
      <w:outlineLvl w:val="2"/>
    </w:pPr>
    <w:rPr>
      <w:rFonts w:ascii="宋体" w:hAnsi="宋体"/>
      <w:sz w:val="28"/>
      <w:szCs w:val="28"/>
    </w:rPr>
  </w:style>
  <w:style w:type="paragraph" w:styleId="5">
    <w:name w:val="heading 4"/>
    <w:basedOn w:val="1"/>
    <w:next w:val="1"/>
    <w:qFormat/>
    <w:uiPriority w:val="0"/>
    <w:pPr>
      <w:keepNext/>
      <w:keepLines/>
      <w:spacing w:before="280" w:after="290" w:line="374" w:lineRule="auto"/>
      <w:outlineLvl w:val="3"/>
    </w:pPr>
    <w:rPr>
      <w:rFonts w:ascii="Arial" w:hAnsi="Arial" w:eastAsia="黑体" w:cs="Times New Roman"/>
      <w:b/>
      <w:bCs/>
      <w:sz w:val="28"/>
      <w:szCs w:val="28"/>
    </w:rPr>
  </w:style>
  <w:style w:type="character" w:default="1" w:styleId="17">
    <w:name w:val="Default Paragraph Font"/>
    <w:semiHidden/>
    <w:uiPriority w:val="0"/>
  </w:style>
  <w:style w:type="table" w:default="1" w:styleId="16">
    <w:name w:val="Normal Table"/>
    <w:semiHidden/>
    <w:uiPriority w:val="0"/>
    <w:tblPr>
      <w:tblStyle w:val="16"/>
      <w:tblCellMar>
        <w:top w:w="0" w:type="dxa"/>
        <w:left w:w="108" w:type="dxa"/>
        <w:bottom w:w="0" w:type="dxa"/>
        <w:right w:w="108" w:type="dxa"/>
      </w:tblCellMar>
    </w:tblPr>
  </w:style>
  <w:style w:type="paragraph" w:styleId="6">
    <w:name w:val="Document Map"/>
    <w:basedOn w:val="1"/>
    <w:semiHidden/>
    <w:uiPriority w:val="0"/>
    <w:pPr>
      <w:shd w:val="clear" w:color="auto" w:fill="000080"/>
    </w:pPr>
  </w:style>
  <w:style w:type="paragraph" w:styleId="7">
    <w:name w:val="annotation text"/>
    <w:basedOn w:val="1"/>
    <w:link w:val="22"/>
    <w:uiPriority w:val="0"/>
  </w:style>
  <w:style w:type="paragraph" w:styleId="8">
    <w:name w:val="Body Text Indent"/>
    <w:basedOn w:val="1"/>
    <w:uiPriority w:val="0"/>
    <w:pPr>
      <w:spacing w:after="120" w:afterLines="0"/>
      <w:ind w:left="420" w:leftChars="200"/>
    </w:pPr>
    <w:rPr>
      <w:szCs w:val="20"/>
    </w:rPr>
  </w:style>
  <w:style w:type="paragraph" w:styleId="9">
    <w:name w:val="toc 3"/>
    <w:basedOn w:val="1"/>
    <w:next w:val="1"/>
    <w:semiHidden/>
    <w:uiPriority w:val="0"/>
    <w:pPr>
      <w:spacing w:before="100" w:beforeAutospacing="1" w:after="100" w:afterAutospacing="1"/>
      <w:ind w:leftChars="400"/>
    </w:pPr>
  </w:style>
  <w:style w:type="paragraph" w:styleId="10">
    <w:name w:val="Balloon Text"/>
    <w:basedOn w:val="1"/>
    <w:semiHidden/>
    <w:uiPriority w:val="0"/>
    <w:rPr>
      <w:sz w:val="18"/>
      <w:szCs w:val="18"/>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iPriority w:val="0"/>
  </w:style>
  <w:style w:type="paragraph" w:styleId="14">
    <w:name w:val="toc 4"/>
    <w:basedOn w:val="1"/>
    <w:next w:val="1"/>
    <w:semiHidden/>
    <w:uiPriority w:val="0"/>
    <w:pPr>
      <w:spacing w:before="100" w:beforeAutospacing="1" w:after="100" w:afterAutospacing="1"/>
      <w:ind w:leftChars="600"/>
    </w:pPr>
  </w:style>
  <w:style w:type="paragraph" w:styleId="15">
    <w:name w:val="annotation subject"/>
    <w:basedOn w:val="7"/>
    <w:next w:val="7"/>
    <w:link w:val="23"/>
    <w:uiPriority w:val="0"/>
    <w:rPr>
      <w:b/>
      <w:bCs/>
    </w:rPr>
  </w:style>
  <w:style w:type="character" w:styleId="18">
    <w:name w:val="Strong"/>
    <w:qFormat/>
    <w:uiPriority w:val="0"/>
    <w:rPr>
      <w:b/>
      <w:bCs/>
    </w:rPr>
  </w:style>
  <w:style w:type="character" w:styleId="19">
    <w:name w:val="page number"/>
    <w:uiPriority w:val="0"/>
  </w:style>
  <w:style w:type="character" w:styleId="20">
    <w:name w:val="Hyperlink"/>
    <w:uiPriority w:val="0"/>
    <w:rPr>
      <w:color w:val="0000FF"/>
      <w:u w:val="single"/>
    </w:rPr>
  </w:style>
  <w:style w:type="character" w:styleId="21">
    <w:name w:val="annotation reference"/>
    <w:uiPriority w:val="0"/>
    <w:rPr>
      <w:sz w:val="21"/>
      <w:szCs w:val="21"/>
    </w:rPr>
  </w:style>
  <w:style w:type="character" w:customStyle="1" w:styleId="22">
    <w:name w:val="批注文字 Char"/>
    <w:link w:val="7"/>
    <w:uiPriority w:val="0"/>
    <w:rPr>
      <w:rFonts w:cs="宋体"/>
      <w:sz w:val="22"/>
      <w:szCs w:val="22"/>
    </w:rPr>
  </w:style>
  <w:style w:type="character" w:customStyle="1" w:styleId="23">
    <w:name w:val="批注主题 Char"/>
    <w:link w:val="15"/>
    <w:uiPriority w:val="0"/>
    <w:rPr>
      <w:rFonts w:cs="宋体"/>
      <w:b/>
      <w:bCs/>
      <w:sz w:val="22"/>
      <w:szCs w:val="22"/>
    </w:rPr>
  </w:style>
  <w:style w:type="paragraph" w:customStyle="1" w:styleId="24">
    <w:name w:val="Table Paragraph"/>
    <w:basedOn w:val="1"/>
    <w:uiPriority w:val="0"/>
  </w:style>
  <w:style w:type="paragraph" w:customStyle="1" w:styleId="25">
    <w:name w:val="普通 (Web)"/>
    <w:basedOn w:val="1"/>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1074</Words>
  <Characters>1133</Characters>
  <Lines>7</Lines>
  <Paragraphs>2</Paragraphs>
  <TotalTime>0</TotalTime>
  <ScaleCrop>false</ScaleCrop>
  <LinksUpToDate>false</LinksUpToDate>
  <CharactersWithSpaces>1135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2018-12-24T07:23:00Z</dcterms:created>
  <dc:creator>X</dc:creator>
  <cp:lastModifiedBy>灿阳</cp:lastModifiedBy>
  <cp:lastPrinted>2022-10-10T03:31:00Z</cp:lastPrinted>
  <dcterms:modified xsi:type="dcterms:W3CDTF">2026-09-23T09:38:17Z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0A651EC51DCA4532A411B5CDF4AF64D3</vt:lpwstr>
  </property>
  <property fmtid="{D5CDD505-2E9C-101B-9397-08002B2CF9AE}" pid="4" name="KSOTemplateDocerSaveRecord">
    <vt:lpwstr>eyJoZGlkIjoiNzllMDQ5NGViOTE2N2UzMmVmMjIzMGQ5MWNlNzg3MjYiLCJ1c2VySWQiOiIxNjQ2OTYwNzA4In0=</vt:lpwstr>
  </property>
</Properties>
</file>